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3BB0F0" w14:textId="77777777" w:rsidR="00000000" w:rsidRDefault="00000000">
      <w:pPr>
        <w:jc w:val="center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val="en"/>
        </w:rPr>
        <w:drawing>
          <wp:inline distT="0" distB="0" distL="0" distR="0" wp14:anchorId="4CF33D0F" wp14:editId="366F13E3">
            <wp:extent cx="5734504" cy="1117534"/>
            <wp:effectExtent l="0" t="0" r="0" b="635"/>
            <wp:docPr id="1" name="Picture 1" descr="Lithod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thodat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236" cy="115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C00E" w14:textId="77777777" w:rsidR="00000000" w:rsidRDefault="00000000">
      <w:pPr>
        <w:keepNext/>
        <w:spacing w:before="400" w:after="400"/>
        <w:jc w:val="center"/>
        <w:outlineLvl w:val="1"/>
        <w:rPr>
          <w:rFonts w:ascii="Arial" w:eastAsia="Times New Roman" w:hAnsi="Arial" w:cs="Arial"/>
          <w:b/>
          <w:bCs/>
          <w:color w:val="1F4E78"/>
          <w:kern w:val="36"/>
          <w:sz w:val="48"/>
          <w:szCs w:val="48"/>
          <w:lang w:val="en"/>
        </w:rPr>
      </w:pPr>
      <w:r>
        <w:rPr>
          <w:rFonts w:ascii="Arial" w:eastAsia="Times New Roman" w:hAnsi="Arial" w:cs="Arial"/>
          <w:b/>
          <w:bCs/>
          <w:color w:val="1F4E78"/>
          <w:kern w:val="36"/>
          <w:sz w:val="48"/>
          <w:szCs w:val="48"/>
          <w:lang w:val="en"/>
        </w:rPr>
        <w:t>Quality Management System</w:t>
      </w:r>
      <w:r>
        <w:rPr>
          <w:rFonts w:ascii="Arial" w:eastAsia="Times New Roman" w:hAnsi="Arial" w:cs="Arial"/>
          <w:b/>
          <w:bCs/>
          <w:color w:val="1F4E78"/>
          <w:kern w:val="36"/>
          <w:sz w:val="48"/>
          <w:szCs w:val="48"/>
          <w:lang w:val="en"/>
        </w:rPr>
        <w:br/>
        <w:t>(QMS) Policy</w:t>
      </w:r>
    </w:p>
    <w:p w14:paraId="0ED8A9CF" w14:textId="77777777" w:rsidR="00B77B61" w:rsidRDefault="00B77B61">
      <w:pPr>
        <w:jc w:val="center"/>
        <w:divId w:val="586501031"/>
        <w:rPr>
          <w:rFonts w:ascii="Arial" w:eastAsia="Times New Roman" w:hAnsi="Arial" w:cs="Arial"/>
          <w:color w:val="000000"/>
          <w:sz w:val="28"/>
          <w:szCs w:val="28"/>
        </w:rPr>
      </w:pPr>
      <w:r w:rsidRPr="00B77B61">
        <w:rPr>
          <w:rFonts w:ascii="Arial" w:eastAsia="Times New Roman" w:hAnsi="Arial" w:cs="Arial"/>
          <w:color w:val="000000"/>
          <w:sz w:val="28"/>
          <w:szCs w:val="28"/>
        </w:rPr>
        <w:t>Digital-First Workplace Standards</w:t>
      </w:r>
    </w:p>
    <w:p w14:paraId="29461E06" w14:textId="77777777" w:rsidR="00B77B61" w:rsidRDefault="00B77B61">
      <w:pPr>
        <w:jc w:val="center"/>
        <w:divId w:val="586501031"/>
        <w:rPr>
          <w:rFonts w:ascii="Arial" w:eastAsia="Times New Roman" w:hAnsi="Arial" w:cs="Arial"/>
          <w:color w:val="000000"/>
          <w:sz w:val="28"/>
          <w:szCs w:val="28"/>
        </w:rPr>
      </w:pPr>
    </w:p>
    <w:p w14:paraId="31CAE5CB" w14:textId="28F710A4" w:rsidR="00000000" w:rsidRDefault="00000000">
      <w:pPr>
        <w:jc w:val="center"/>
        <w:divId w:val="586501031"/>
        <w:rPr>
          <w:rFonts w:ascii="Arial" w:eastAsia="Times New Roman" w:hAnsi="Arial" w:cs="Arial"/>
          <w:color w:val="666666"/>
          <w:lang w:val="en"/>
        </w:rPr>
      </w:pPr>
      <w:r>
        <w:rPr>
          <w:rFonts w:ascii="Arial" w:eastAsia="Times New Roman" w:hAnsi="Arial" w:cs="Arial"/>
          <w:color w:val="666666"/>
          <w:lang w:val="en"/>
        </w:rPr>
        <w:t>Lithodat Pty Ltd</w:t>
      </w:r>
      <w:r>
        <w:rPr>
          <w:rFonts w:ascii="Arial" w:eastAsia="Times New Roman" w:hAnsi="Arial" w:cs="Arial"/>
          <w:color w:val="666666"/>
          <w:lang w:val="en"/>
        </w:rPr>
        <w:br/>
        <w:t>ABN: 48 647 191 452</w:t>
      </w:r>
      <w:r>
        <w:rPr>
          <w:rFonts w:ascii="Arial" w:eastAsia="Times New Roman" w:hAnsi="Arial" w:cs="Arial"/>
          <w:color w:val="666666"/>
          <w:lang w:val="en"/>
        </w:rPr>
        <w:br/>
        <w:t xml:space="preserve">December 2024 </w:t>
      </w:r>
    </w:p>
    <w:p w14:paraId="5470A198" w14:textId="77777777" w:rsidR="00762AAB" w:rsidRDefault="00762AAB">
      <w:pPr>
        <w:rPr>
          <w:rFonts w:ascii="Arial" w:eastAsia="Times New Roman" w:hAnsi="Arial" w:cs="Arial"/>
          <w:b/>
          <w:bCs/>
          <w:color w:val="1F4E78"/>
          <w:kern w:val="36"/>
          <w:sz w:val="36"/>
          <w:szCs w:val="36"/>
          <w:lang w:val="en"/>
        </w:rPr>
      </w:pPr>
      <w:r>
        <w:rPr>
          <w:rFonts w:ascii="Arial" w:eastAsia="Times New Roman" w:hAnsi="Arial" w:cs="Arial"/>
          <w:lang w:val="en"/>
        </w:rPr>
        <w:br w:type="page"/>
      </w:r>
    </w:p>
    <w:p w14:paraId="4FDE661A" w14:textId="5645F263" w:rsidR="00000000" w:rsidRDefault="00000000">
      <w:pPr>
        <w:pStyle w:val="Heading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>Quality Management System (QMS)</w:t>
      </w:r>
    </w:p>
    <w:p w14:paraId="21FFC69E" w14:textId="77777777" w:rsidR="00000000" w:rsidRDefault="00000000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Policy Overview</w:t>
      </w:r>
    </w:p>
    <w:p w14:paraId="6C7366B3" w14:textId="77777777" w:rsidR="00000000" w:rsidRDefault="00000000">
      <w:pPr>
        <w:pStyle w:val="NormalWeb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 xml:space="preserve">Lithodat is committed to delivering scientifically accurate geoscience data platforms. Our </w:t>
      </w:r>
      <w:r>
        <w:rPr>
          <w:rStyle w:val="Strong"/>
          <w:rFonts w:ascii="Arial" w:hAnsi="Arial" w:cs="Arial"/>
          <w:sz w:val="22"/>
          <w:szCs w:val="22"/>
          <w:lang w:val="en"/>
        </w:rPr>
        <w:t>"Geology First"</w:t>
      </w:r>
      <w:r>
        <w:rPr>
          <w:rFonts w:ascii="Arial" w:hAnsi="Arial" w:cs="Arial"/>
          <w:color w:val="000000"/>
          <w:sz w:val="22"/>
          <w:szCs w:val="22"/>
          <w:lang w:val="en"/>
        </w:rPr>
        <w:t xml:space="preserve"> approach ensures that data models and platform features are designed and validated by qualified geologists. This policy outlines our practical approach to data integrity, software testing, and scientific stewardship. </w:t>
      </w:r>
    </w:p>
    <w:p w14:paraId="2237CFEC" w14:textId="77777777" w:rsidR="00000000" w:rsidRDefault="00000000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1. The "Geology First" Quality Principle</w:t>
      </w:r>
    </w:p>
    <w:p w14:paraId="523063FB" w14:textId="77777777" w:rsidR="00000000" w:rsidRDefault="00000000">
      <w:pPr>
        <w:pStyle w:val="NormalWeb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 xml:space="preserve">The core of our quality system is the integration of domain expertise into every stage of development. We ensure that: </w:t>
      </w:r>
    </w:p>
    <w:p w14:paraId="25786675" w14:textId="77777777" w:rsidR="00000000" w:rsidRDefault="00000000">
      <w:pPr>
        <w:numPr>
          <w:ilvl w:val="0"/>
          <w:numId w:val="1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Scientifically Sound Data Models: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Data structures are designed by geologists (not just developers) to ensure they reflect real-world geological relationships. </w:t>
      </w:r>
    </w:p>
    <w:p w14:paraId="16FF5AEB" w14:textId="2E1A2586" w:rsidR="00000000" w:rsidRDefault="00000000">
      <w:pPr>
        <w:numPr>
          <w:ilvl w:val="0"/>
          <w:numId w:val="1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Expert Validation: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Our team of geologists manually and programmatically validates data to ensure scientific accuracy. </w:t>
      </w:r>
    </w:p>
    <w:p w14:paraId="5D4F96A0" w14:textId="1491A52D" w:rsidR="00000000" w:rsidRDefault="00000000">
      <w:pPr>
        <w:numPr>
          <w:ilvl w:val="0"/>
          <w:numId w:val="1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Geological AI: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Machine Learning workflows are reviewed </w:t>
      </w:r>
      <w:r w:rsidR="00762AAB"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by 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our AI team to ensure that automated outputs remain geologically plausible. </w:t>
      </w:r>
    </w:p>
    <w:p w14:paraId="51526D3D" w14:textId="77777777" w:rsidR="00000000" w:rsidRDefault="00000000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2. Practical Data Quality &amp; QA/QC</w:t>
      </w:r>
    </w:p>
    <w:p w14:paraId="62359353" w14:textId="77777777" w:rsidR="00000000" w:rsidRDefault="00000000">
      <w:pPr>
        <w:pStyle w:val="NormalWeb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 xml:space="preserve">We apply rigorous checks to ensure the data hosted on our platforms is of the highest possible quality: </w:t>
      </w:r>
    </w:p>
    <w:p w14:paraId="3C61D302" w14:textId="77777777" w:rsidR="00000000" w:rsidRDefault="00000000">
      <w:pPr>
        <w:numPr>
          <w:ilvl w:val="0"/>
          <w:numId w:val="2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Schema Validation: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Mandatory enforcement of controlled vocabularies (e.g., CGI/OGC standards, EarthBank and Isotopes.au ARDC ontologies) to prevent "dirty data" from entering the system. </w:t>
      </w:r>
    </w:p>
    <w:p w14:paraId="0FE8D73C" w14:textId="77777777" w:rsidR="00000000" w:rsidRDefault="00000000">
      <w:pPr>
        <w:numPr>
          <w:ilvl w:val="0"/>
          <w:numId w:val="2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Automated Logical Checks: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We use scripts to identify scientific inconsistencies (e.g., an analytical age that is geologically impossible given the stratigraphic context). </w:t>
      </w:r>
    </w:p>
    <w:p w14:paraId="7295D4A9" w14:textId="77777777" w:rsidR="00000000" w:rsidRDefault="00000000">
      <w:pPr>
        <w:numPr>
          <w:ilvl w:val="0"/>
          <w:numId w:val="2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Provenance Tracking: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Every record includes metadata that traces the data back to its original laboratory source or publication, ensuring scientific accountability. </w:t>
      </w:r>
    </w:p>
    <w:p w14:paraId="790C5C9D" w14:textId="77777777" w:rsidR="00000000" w:rsidRDefault="00000000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3. Software Testing &amp; Development</w:t>
      </w:r>
    </w:p>
    <w:p w14:paraId="6A49F196" w14:textId="77777777" w:rsidR="00000000" w:rsidRDefault="00000000">
      <w:pPr>
        <w:pStyle w:val="NormalWeb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 xml:space="preserve">To ensure platform reliability, we follow a consistent internal development process: </w:t>
      </w:r>
    </w:p>
    <w:p w14:paraId="31C5FFC1" w14:textId="77777777" w:rsidR="00000000" w:rsidRDefault="00000000">
      <w:pPr>
        <w:numPr>
          <w:ilvl w:val="0"/>
          <w:numId w:val="3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Peer Review: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No code is deployed to our platforms without being reviewed by a second developer to catch errors and security flaws. </w:t>
      </w:r>
    </w:p>
    <w:p w14:paraId="13F1570C" w14:textId="77777777" w:rsidR="00000000" w:rsidRDefault="00000000">
      <w:pPr>
        <w:numPr>
          <w:ilvl w:val="0"/>
          <w:numId w:val="3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Environment Separation: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We test all new features in a "Staging" environment before they are released to users (e.g., on EarthBank or Isotopes.au). </w:t>
      </w:r>
    </w:p>
    <w:p w14:paraId="2CA52939" w14:textId="28F3DAB5" w:rsidR="00000000" w:rsidRDefault="00000000">
      <w:pPr>
        <w:numPr>
          <w:ilvl w:val="0"/>
          <w:numId w:val="3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User Feedback Loops: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We work directly with </w:t>
      </w:r>
      <w:r w:rsidR="00762AAB"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acedmic 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partners to test tools in real-world scenarios before full deployment. </w:t>
      </w:r>
    </w:p>
    <w:p w14:paraId="572B3C95" w14:textId="77777777" w:rsidR="00000000" w:rsidRDefault="00000000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>4. International Recognition &amp; Certifications</w:t>
      </w:r>
    </w:p>
    <w:p w14:paraId="30C007E8" w14:textId="77777777" w:rsidR="00000000" w:rsidRDefault="00000000">
      <w:pPr>
        <w:pStyle w:val="NormalWeb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 xml:space="preserve">Lithodat maintains external validation for our data stewardship through: </w:t>
      </w:r>
    </w:p>
    <w:p w14:paraId="51FC18B6" w14:textId="77777777" w:rsidR="00000000" w:rsidRDefault="00000000">
      <w:pPr>
        <w:numPr>
          <w:ilvl w:val="0"/>
          <w:numId w:val="4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CoreTrustSeal (CTS) Certification: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EarthBank is officially certified as a Trusted Scientific Repository. This independently validates our long-term data stewardship and QA/QC systems. </w:t>
      </w:r>
    </w:p>
    <w:p w14:paraId="4F4CD841" w14:textId="77777777" w:rsidR="00000000" w:rsidRDefault="00000000">
      <w:pPr>
        <w:numPr>
          <w:ilvl w:val="0"/>
          <w:numId w:val="4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World Data System (WDS) Membership: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As a Regular Member of the WDS (International Science Council), we comply with global standards for scientific data infrastructure. </w:t>
      </w:r>
    </w:p>
    <w:p w14:paraId="52112328" w14:textId="77777777" w:rsidR="00000000" w:rsidRDefault="00000000">
      <w:pPr>
        <w:numPr>
          <w:ilvl w:val="0"/>
          <w:numId w:val="4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AWS Infrastructure: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While Lithodat manages its own application security, we host our services on AWS to benefit from their world-class physical security and high-availability infrastructure. </w:t>
      </w:r>
    </w:p>
    <w:p w14:paraId="767EA4CC" w14:textId="77777777" w:rsidR="00000000" w:rsidRDefault="00000000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5. FAIR Data Commitment</w:t>
      </w:r>
    </w:p>
    <w:p w14:paraId="73851C32" w14:textId="77777777" w:rsidR="00000000" w:rsidRDefault="00000000">
      <w:pPr>
        <w:pStyle w:val="NormalWeb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 xml:space="preserve">We ensure all data platforms managed by Lithodat follow the FAIR principles: </w:t>
      </w:r>
    </w:p>
    <w:p w14:paraId="54978E31" w14:textId="77777777" w:rsidR="00000000" w:rsidRDefault="00000000">
      <w:pPr>
        <w:numPr>
          <w:ilvl w:val="0"/>
          <w:numId w:val="5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Findable: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Use of persistent identifiers (Litho-IDs) and rich geological metadata. </w:t>
      </w:r>
    </w:p>
    <w:p w14:paraId="5536DA85" w14:textId="77777777" w:rsidR="00000000" w:rsidRDefault="00000000">
      <w:pPr>
        <w:numPr>
          <w:ilvl w:val="0"/>
          <w:numId w:val="5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Accessible: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Data is available via standard web protocols with secure, role-based access. </w:t>
      </w:r>
    </w:p>
    <w:p w14:paraId="346A0FA9" w14:textId="77777777" w:rsidR="00000000" w:rsidRDefault="00000000">
      <w:pPr>
        <w:numPr>
          <w:ilvl w:val="0"/>
          <w:numId w:val="5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Interoperable: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Use of standardized geological vocabularies and open formats (CSV, JSON). </w:t>
      </w:r>
    </w:p>
    <w:p w14:paraId="63E79D16" w14:textId="77777777" w:rsidR="00000000" w:rsidRDefault="00000000">
      <w:pPr>
        <w:numPr>
          <w:ilvl w:val="0"/>
          <w:numId w:val="5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Reusable: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Clear licensing (e.g., Creative Commons) and detailed laboratory provenance. </w:t>
      </w:r>
    </w:p>
    <w:p w14:paraId="478234E6" w14:textId="77777777" w:rsidR="00000000" w:rsidRDefault="00000000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6. Continuous Improvement</w:t>
      </w:r>
    </w:p>
    <w:p w14:paraId="69344893" w14:textId="77777777" w:rsidR="00000000" w:rsidRDefault="00000000">
      <w:pPr>
        <w:pStyle w:val="NormalWeb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 xml:space="preserve">Our continuous improvement process is practical and responsive. We: </w:t>
      </w:r>
    </w:p>
    <w:p w14:paraId="15D11442" w14:textId="77777777" w:rsidR="00000000" w:rsidRDefault="00000000">
      <w:pPr>
        <w:numPr>
          <w:ilvl w:val="0"/>
          <w:numId w:val="6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>Conduct regular technical reviews after every major release.</w:t>
      </w:r>
    </w:p>
    <w:p w14:paraId="1102EE30" w14:textId="77777777" w:rsidR="00000000" w:rsidRDefault="00000000">
      <w:pPr>
        <w:numPr>
          <w:ilvl w:val="0"/>
          <w:numId w:val="6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Actively solicit and implement technical feedback from our national research and government partners. </w:t>
      </w:r>
    </w:p>
    <w:p w14:paraId="3878627B" w14:textId="77777777" w:rsidR="00000000" w:rsidRDefault="00000000">
      <w:pPr>
        <w:numPr>
          <w:ilvl w:val="0"/>
          <w:numId w:val="6"/>
        </w:numPr>
        <w:spacing w:before="100" w:beforeAutospacing="1" w:after="120"/>
        <w:ind w:left="1120"/>
        <w:jc w:val="both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Maintain an automated alerting system (AWS CloudWatch) to identify and fix performance issues immediately. </w:t>
      </w:r>
    </w:p>
    <w:p w14:paraId="6E0E51F1" w14:textId="77777777" w:rsidR="00762AAB" w:rsidRDefault="00762AAB">
      <w:pPr>
        <w:divId w:val="187833870"/>
        <w:rPr>
          <w:rFonts w:ascii="Arial" w:eastAsia="Times New Roman" w:hAnsi="Arial" w:cs="Arial"/>
          <w:b/>
          <w:bCs/>
          <w:color w:val="1F4E78"/>
          <w:sz w:val="22"/>
          <w:szCs w:val="22"/>
          <w:lang w:val="en"/>
        </w:rPr>
      </w:pPr>
    </w:p>
    <w:p w14:paraId="7D66E79D" w14:textId="366A7E17" w:rsidR="00000000" w:rsidRDefault="00000000">
      <w:pPr>
        <w:divId w:val="187833870"/>
        <w:rPr>
          <w:rFonts w:ascii="Arial" w:eastAsia="Times New Roman" w:hAnsi="Arial" w:cs="Arial"/>
          <w:b/>
          <w:bCs/>
          <w:color w:val="1F4E78"/>
          <w:sz w:val="22"/>
          <w:szCs w:val="22"/>
          <w:lang w:val="en"/>
        </w:rPr>
      </w:pPr>
      <w:r>
        <w:rPr>
          <w:rFonts w:ascii="Arial" w:eastAsia="Times New Roman" w:hAnsi="Arial" w:cs="Arial"/>
          <w:b/>
          <w:bCs/>
          <w:color w:val="1F4E78"/>
          <w:sz w:val="22"/>
          <w:szCs w:val="22"/>
          <w:lang w:val="en"/>
        </w:rPr>
        <w:t>Dr. Fabian Kohlmann</w:t>
      </w:r>
    </w:p>
    <w:p w14:paraId="6FD0778E" w14:textId="77777777" w:rsidR="00000000" w:rsidRDefault="00000000">
      <w:pPr>
        <w:divId w:val="322245232"/>
        <w:rPr>
          <w:rFonts w:ascii="Arial" w:eastAsia="Times New Roman" w:hAnsi="Arial" w:cs="Arial"/>
          <w:i/>
          <w:iCs/>
          <w:color w:val="000000"/>
          <w:sz w:val="22"/>
          <w:szCs w:val="22"/>
          <w:lang w:val="en"/>
        </w:rPr>
      </w:pPr>
      <w:r>
        <w:rPr>
          <w:rFonts w:ascii="Arial" w:eastAsia="Times New Roman" w:hAnsi="Arial" w:cs="Arial"/>
          <w:i/>
          <w:iCs/>
          <w:color w:val="000000"/>
          <w:sz w:val="22"/>
          <w:szCs w:val="22"/>
          <w:lang w:val="en"/>
        </w:rPr>
        <w:t>Chief Executive Officer</w:t>
      </w:r>
    </w:p>
    <w:p w14:paraId="2B8776A7" w14:textId="77777777" w:rsidR="00000000" w:rsidRDefault="00000000">
      <w:pPr>
        <w:divId w:val="1842891058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>December 2024</w:t>
      </w:r>
    </w:p>
    <w:p w14:paraId="06DFA616" w14:textId="327A6778" w:rsidR="00707B54" w:rsidRDefault="00000000">
      <w:pPr>
        <w:divId w:val="620258499"/>
        <w:rPr>
          <w:rFonts w:ascii="Arial" w:eastAsia="Times New Roman" w:hAnsi="Arial" w:cs="Arial"/>
          <w:color w:val="000000"/>
          <w:sz w:val="22"/>
          <w:szCs w:val="22"/>
          <w:lang w:val="en"/>
        </w:rPr>
      </w:pPr>
      <w:r>
        <w:rPr>
          <w:rStyle w:val="Strong"/>
          <w:rFonts w:ascii="Arial" w:eastAsia="Times New Roman" w:hAnsi="Arial" w:cs="Arial"/>
          <w:sz w:val="22"/>
          <w:szCs w:val="22"/>
          <w:lang w:val="en"/>
        </w:rPr>
        <w:t>Lithodat Pty Ltd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t xml:space="preserve"> | ABN: 48 647 191 452</w:t>
      </w:r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br/>
        <w:t xml:space="preserve">Website: </w:t>
      </w:r>
      <w:hyperlink r:id="rId8" w:history="1">
        <w:r>
          <w:rPr>
            <w:rStyle w:val="Hyperlink"/>
            <w:rFonts w:ascii="Arial" w:eastAsia="Times New Roman" w:hAnsi="Arial" w:cs="Arial"/>
            <w:sz w:val="22"/>
            <w:szCs w:val="22"/>
            <w:lang w:val="en"/>
          </w:rPr>
          <w:t>https://lithodat.com</w:t>
        </w:r>
      </w:hyperlink>
      <w:r>
        <w:rPr>
          <w:rFonts w:ascii="Arial" w:eastAsia="Times New Roman" w:hAnsi="Arial" w:cs="Arial"/>
          <w:color w:val="000000"/>
          <w:sz w:val="22"/>
          <w:szCs w:val="22"/>
          <w:lang w:val="en"/>
        </w:rPr>
        <w:br/>
      </w:r>
    </w:p>
    <w:sectPr w:rsidR="00707B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97446" w14:textId="77777777" w:rsidR="00707B54" w:rsidRDefault="00707B54" w:rsidP="00762AAB">
      <w:r>
        <w:separator/>
      </w:r>
    </w:p>
  </w:endnote>
  <w:endnote w:type="continuationSeparator" w:id="0">
    <w:p w14:paraId="19BDB474" w14:textId="77777777" w:rsidR="00707B54" w:rsidRDefault="00707B54" w:rsidP="0076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3F296" w14:textId="77777777" w:rsidR="00762AAB" w:rsidRDefault="00762A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BF8B" w14:textId="77777777" w:rsidR="00762AAB" w:rsidRDefault="00762A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6BE86" w14:textId="77777777" w:rsidR="00762AAB" w:rsidRDefault="00762A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5F6C5" w14:textId="77777777" w:rsidR="00707B54" w:rsidRDefault="00707B54" w:rsidP="00762AAB">
      <w:r>
        <w:separator/>
      </w:r>
    </w:p>
  </w:footnote>
  <w:footnote w:type="continuationSeparator" w:id="0">
    <w:p w14:paraId="56516144" w14:textId="77777777" w:rsidR="00707B54" w:rsidRDefault="00707B54" w:rsidP="00762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D74F" w14:textId="77777777" w:rsidR="00762AAB" w:rsidRDefault="00762A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895A" w14:textId="77777777" w:rsidR="00762AAB" w:rsidRDefault="00762A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3A06" w14:textId="77777777" w:rsidR="00762AAB" w:rsidRDefault="00762A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72FCD"/>
    <w:multiLevelType w:val="multilevel"/>
    <w:tmpl w:val="071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06A9B"/>
    <w:multiLevelType w:val="multilevel"/>
    <w:tmpl w:val="164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06A78"/>
    <w:multiLevelType w:val="multilevel"/>
    <w:tmpl w:val="818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27C90"/>
    <w:multiLevelType w:val="multilevel"/>
    <w:tmpl w:val="06D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42584"/>
    <w:multiLevelType w:val="multilevel"/>
    <w:tmpl w:val="CB2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3351E"/>
    <w:multiLevelType w:val="multilevel"/>
    <w:tmpl w:val="057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032969">
    <w:abstractNumId w:val="2"/>
  </w:num>
  <w:num w:numId="2" w16cid:durableId="1241021734">
    <w:abstractNumId w:val="3"/>
  </w:num>
  <w:num w:numId="3" w16cid:durableId="508057967">
    <w:abstractNumId w:val="5"/>
  </w:num>
  <w:num w:numId="4" w16cid:durableId="622927028">
    <w:abstractNumId w:val="1"/>
  </w:num>
  <w:num w:numId="5" w16cid:durableId="1614047604">
    <w:abstractNumId w:val="4"/>
  </w:num>
  <w:num w:numId="6" w16cid:durableId="169831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AB"/>
    <w:rsid w:val="00265A16"/>
    <w:rsid w:val="00707B54"/>
    <w:rsid w:val="00762AAB"/>
    <w:rsid w:val="00B7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A8E65"/>
  <w15:chartTrackingRefBased/>
  <w15:docId w15:val="{3370779D-CCE6-1247-A817-E6C90403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6" w:color="1F4E78"/>
      </w:pBdr>
      <w:spacing w:after="240"/>
      <w:outlineLvl w:val="0"/>
    </w:pPr>
    <w:rPr>
      <w:b/>
      <w:bCs/>
      <w:color w:val="1F4E78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4" w:color="1F4E78"/>
      </w:pBdr>
      <w:spacing w:before="320" w:after="160"/>
      <w:outlineLvl w:val="1"/>
    </w:pPr>
    <w:rPr>
      <w:b/>
      <w:bCs/>
      <w:color w:val="1F4E78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b/>
      <w:bCs/>
      <w:color w:val="1F4E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1F4E78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1F4E78"/>
      <w:u w:val="none"/>
      <w:effect w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  <w:color w:val="1F4E78"/>
    </w:rPr>
  </w:style>
  <w:style w:type="paragraph" w:customStyle="1" w:styleId="msonormal0">
    <w:name w:val="msonormal"/>
    <w:basedOn w:val="Normal"/>
    <w:pPr>
      <w:spacing w:before="100" w:beforeAutospacing="1" w:after="20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00"/>
      <w:jc w:val="both"/>
    </w:pPr>
  </w:style>
  <w:style w:type="paragraph" w:customStyle="1" w:styleId="page-break">
    <w:name w:val="page-break"/>
    <w:basedOn w:val="Normal"/>
    <w:pPr>
      <w:spacing w:before="100" w:beforeAutospacing="1" w:after="120"/>
      <w:jc w:val="both"/>
    </w:pPr>
  </w:style>
  <w:style w:type="paragraph" w:customStyle="1" w:styleId="title-page">
    <w:name w:val="title-page"/>
    <w:basedOn w:val="Normal"/>
    <w:pPr>
      <w:spacing w:before="100" w:beforeAutospacing="1" w:after="120"/>
      <w:jc w:val="center"/>
    </w:pPr>
  </w:style>
  <w:style w:type="paragraph" w:customStyle="1" w:styleId="signature">
    <w:name w:val="signature"/>
    <w:basedOn w:val="Normal"/>
    <w:pPr>
      <w:spacing w:before="800" w:after="120"/>
    </w:pPr>
  </w:style>
  <w:style w:type="paragraph" w:customStyle="1" w:styleId="signature-name">
    <w:name w:val="signature-name"/>
    <w:basedOn w:val="Normal"/>
    <w:pPr>
      <w:spacing w:before="100" w:beforeAutospacing="1" w:after="80"/>
      <w:jc w:val="both"/>
    </w:pPr>
    <w:rPr>
      <w:b/>
      <w:bCs/>
      <w:color w:val="1F4E78"/>
    </w:rPr>
  </w:style>
  <w:style w:type="paragraph" w:customStyle="1" w:styleId="signature-title">
    <w:name w:val="signature-title"/>
    <w:basedOn w:val="Normal"/>
    <w:pPr>
      <w:spacing w:before="100" w:beforeAutospacing="1" w:after="80"/>
      <w:jc w:val="both"/>
    </w:pPr>
    <w:rPr>
      <w:i/>
      <w:iCs/>
    </w:rPr>
  </w:style>
  <w:style w:type="paragraph" w:customStyle="1" w:styleId="signature-date">
    <w:name w:val="signature-date"/>
    <w:basedOn w:val="Normal"/>
    <w:pPr>
      <w:spacing w:before="100" w:beforeAutospacing="1" w:after="320"/>
      <w:jc w:val="both"/>
    </w:pPr>
  </w:style>
  <w:style w:type="paragraph" w:customStyle="1" w:styleId="signature-company">
    <w:name w:val="signature-company"/>
    <w:basedOn w:val="Normal"/>
    <w:pPr>
      <w:pBdr>
        <w:top w:val="single" w:sz="12" w:space="16" w:color="1F4E78"/>
      </w:pBdr>
      <w:spacing w:before="320" w:after="120"/>
      <w:jc w:val="both"/>
    </w:pPr>
  </w:style>
  <w:style w:type="paragraph" w:customStyle="1" w:styleId="highlight-box">
    <w:name w:val="highlight-box"/>
    <w:basedOn w:val="Normal"/>
    <w:pPr>
      <w:pBdr>
        <w:left w:val="single" w:sz="24" w:space="12" w:color="1F4E78"/>
      </w:pBdr>
      <w:shd w:val="clear" w:color="auto" w:fill="E8F0F7"/>
      <w:spacing w:before="320" w:after="320"/>
      <w:jc w:val="both"/>
    </w:pPr>
  </w:style>
  <w:style w:type="paragraph" w:customStyle="1" w:styleId="subtitle">
    <w:name w:val="subtitle"/>
    <w:basedOn w:val="Normal"/>
    <w:pPr>
      <w:spacing w:before="100" w:beforeAutospacing="1" w:after="120"/>
      <w:jc w:val="both"/>
    </w:pPr>
  </w:style>
  <w:style w:type="paragraph" w:customStyle="1" w:styleId="meta">
    <w:name w:val="meta"/>
    <w:basedOn w:val="Normal"/>
    <w:pPr>
      <w:spacing w:before="100" w:beforeAutospacing="1" w:after="120"/>
      <w:jc w:val="both"/>
    </w:pPr>
  </w:style>
  <w:style w:type="paragraph" w:customStyle="1" w:styleId="subtitle1">
    <w:name w:val="subtitle1"/>
    <w:basedOn w:val="Normal"/>
    <w:pPr>
      <w:spacing w:before="300" w:after="300"/>
      <w:jc w:val="both"/>
    </w:pPr>
    <w:rPr>
      <w:color w:val="000000"/>
      <w:sz w:val="28"/>
      <w:szCs w:val="28"/>
    </w:rPr>
  </w:style>
  <w:style w:type="paragraph" w:customStyle="1" w:styleId="meta1">
    <w:name w:val="meta1"/>
    <w:basedOn w:val="Normal"/>
    <w:pPr>
      <w:spacing w:before="600" w:after="200"/>
      <w:jc w:val="both"/>
    </w:pPr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62A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AAB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62A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AA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501031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183">
      <w:marLeft w:val="0"/>
      <w:marRight w:val="0"/>
      <w:marTop w:val="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3870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5232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1058">
          <w:marLeft w:val="0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58499">
          <w:marLeft w:val="0"/>
          <w:marRight w:val="0"/>
          <w:marTop w:val="320"/>
          <w:marBottom w:val="0"/>
          <w:divBdr>
            <w:top w:val="single" w:sz="12" w:space="16" w:color="1F4E78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93575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thodat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Management System (QMS) Policy - Lithodat Pty Ltd</dc:title>
  <dc:subject/>
  <dc:creator>Keith Dimech</dc:creator>
  <cp:keywords/>
  <dc:description/>
  <cp:lastModifiedBy>Keith Dimech</cp:lastModifiedBy>
  <cp:revision>3</cp:revision>
  <dcterms:created xsi:type="dcterms:W3CDTF">2025-12-20T22:20:00Z</dcterms:created>
  <dcterms:modified xsi:type="dcterms:W3CDTF">2025-12-20T22:21:00Z</dcterms:modified>
</cp:coreProperties>
</file>