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Content &amp; Information Architecture First:</w:t>
      </w:r>
      <w:r w:rsidDel="00000000" w:rsidR="00000000" w:rsidRPr="00000000">
        <w:rPr>
          <w:rtl w:val="0"/>
        </w:rPr>
        <w:t xml:space="preserve"> MDN documentation stresses establishing a clear sitemap, user navigation pathways, and shared persistent landmarks (global header, navigation bar, footer) versus page-specific content before writing code.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Site Map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Landing Page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Header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Logo  Motto Buttons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Page Links   Message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About Page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Services Page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Products Page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Sales Page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Help Page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Learning Page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User Navigation Pathways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Shared Persistent Landmarks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Global Header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Navigation Bar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Tokenized Style Components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Fonts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Themes/Colors</w:t>
        <w:tab/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