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sz w:val="28"/>
          <w:szCs w:val="28"/>
        </w:rPr>
        <w:t xml:space="preserve">Halo Mass Mediates the Colour–Environment Relation in GAMA:</w:t>
      </w:r>
    </w:p>
    <w:p>
      <w:pPr>
        <w:spacing w:after="100" w:before="0"/>
        <w:jc w:val="center"/>
      </w:pPr>
      <w:r>
        <w:rPr>
          <w:rFonts w:ascii="Arial" w:cs="Arial" w:eastAsia="Arial" w:hAnsi="Arial"/>
          <w:b/>
          <w:bCs/>
          <w:sz w:val="26"/>
          <w:szCs w:val="26"/>
        </w:rPr>
        <w:t xml:space="preserve">Evidence from Partial Correlation and Distribution Shape Analysis</w:t>
      </w:r>
    </w:p>
    <w:p>
      <w:pPr>
        <w:spacing w:after="80" w:before="0"/>
        <w:jc w:val="center"/>
      </w:pPr>
      <w:r>
        <w:rPr>
          <w:rFonts w:ascii="Arial" w:cs="Arial" w:eastAsia="Arial" w:hAnsi="Arial"/>
          <w:b/>
          <w:bCs/>
          <w:sz w:val="24"/>
          <w:szCs w:val="24"/>
        </w:rPr>
        <w:t xml:space="preserve">K. Sloan</w:t>
      </w:r>
    </w:p>
    <w:p>
      <w:pPr>
        <w:spacing w:after="280" w:before="0"/>
        <w:jc w:val="center"/>
      </w:pPr>
      <w:r>
        <w:rPr>
          <w:rFonts w:ascii="Times New Roman" w:cs="Times New Roman" w:eastAsia="Times New Roman" w:hAnsi="Times New Roman"/>
          <w:i/>
          <w:iCs/>
          <w:sz w:val="22"/>
          <w:szCs w:val="22"/>
        </w:rPr>
        <w:t xml:space="preserve">Independent Researcher — working draft for MNRAS Letters</w:t>
      </w:r>
    </w:p>
    <w:p>
      <w:pPr>
        <w:pStyle w:val="Heading1"/>
        <w:spacing w:after="80" w:before="200"/>
      </w:pPr>
      <w:r>
        <w:rPr>
          <w:rFonts w:ascii="Arial" w:cs="Arial" w:eastAsia="Arial" w:hAnsi="Arial"/>
          <w:b/>
          <w:bCs/>
          <w:sz w:val="24"/>
          <w:szCs w:val="24"/>
        </w:rPr>
        <w:t xml:space="preserve">Abstract</w:t>
      </w:r>
    </w:p>
    <w:p>
      <w:pPr>
        <w:spacing w:after="120" w:before="0" w:line="276"/>
      </w:pPr>
      <w:r>
        <w:rPr>
          <w:rFonts w:ascii="Times New Roman" w:cs="Times New Roman" w:eastAsia="Times New Roman" w:hAnsi="Times New Roman"/>
          <w:sz w:val="22"/>
          <w:szCs w:val="22"/>
        </w:rPr>
        <w:t xml:space="preserve">We investigate the relationship between galaxy colour (u−r) and local environment for galaxies in the GAMA DR4 survey, using partial correlation to control for group halo mass and bootstrap null tests to assess physical evolution in the shape of the colour distribution with redshift. For elliptical galaxies (N = 1,270), raw correlations between u−r and all four environment metrics collapse to r ≈ 0 once group halo mass is controlled, demonstrating complete mediation. For the full galaxy population (N = 22,531), ~50% of the signal survives halo control, indicating an independent morphology-linked pathway. Skewness and Box–Cox λ of the u−r distribution evolve monotonically with redshift (Spearman |r| = 1.00, p &lt; 0.001 for both): skewness shifts from +0.90 at z = 0.03 to −0.82 at z = 0.33, and λ from −0.20 to +2.70. Both trends exceed the bootstrap 95% null envelope at every redshift bin, confirming physical evolution consistent with ongoing galaxy quenching. Comparison of λ with the red fraction (u−r &gt; 2.1) reveals two decoupled processes: active threshold crossing, which decelerates above z ≈ 0.15, and red sequence consolidation, which continues at higher redshift and is detected by λ but not by the red fraction alone.</w:t>
      </w:r>
    </w:p>
    <w:p>
      <w:pPr>
        <w:pStyle w:val="Heading1"/>
        <w:spacing w:after="80" w:before="200"/>
      </w:pPr>
      <w:r>
        <w:rPr>
          <w:rFonts w:ascii="Arial" w:cs="Arial" w:eastAsia="Arial" w:hAnsi="Arial"/>
          <w:b/>
          <w:bCs/>
          <w:sz w:val="24"/>
          <w:szCs w:val="24"/>
        </w:rPr>
        <w:t xml:space="preserve">1. Introduction</w:t>
      </w:r>
    </w:p>
    <w:p>
      <w:pPr>
        <w:spacing w:after="120" w:before="0" w:line="276"/>
      </w:pPr>
      <w:r>
        <w:rPr>
          <w:rFonts w:ascii="Times New Roman" w:cs="Times New Roman" w:eastAsia="Times New Roman" w:hAnsi="Times New Roman"/>
          <w:sz w:val="22"/>
          <w:szCs w:val="22"/>
        </w:rPr>
        <w:t xml:space="preserve">The correlation between galaxy colour and local environment is among the most robust observational results in galaxy evolution (Dressler 1980; Blanton &amp; Moustakas 2009). The outstanding question is mechanistic: does environment directly drive quenching, or is the signal primarily a reflection of halo mass, which correlates with both environment and the efficiency of quenching processes such as ram-pressure stripping and strangulation?</w:t>
      </w:r>
    </w:p>
    <w:p>
      <w:pPr>
        <w:spacing w:after="120" w:before="0" w:line="276"/>
      </w:pPr>
      <w:r>
        <w:rPr>
          <w:rFonts w:ascii="Times New Roman" w:cs="Times New Roman" w:eastAsia="Times New Roman" w:hAnsi="Times New Roman"/>
          <w:sz w:val="22"/>
          <w:szCs w:val="22"/>
        </w:rPr>
        <w:t xml:space="preserve">A complementary question is whether the shape of the colour distribution encodes evolutionary information beyond the mean. If the u−r distribution transforms systematically with redshift in ways exceeding sampling noise, that transformation constrains the quenching timescale independently of correlation analyses. In particular, the relationship between Box–Cox λ and the conventional red fraction (fraction of galaxies above a fixed colour threshold) can distinguish two qualitatively different evolutionary processes: active quenching — galaxies crossing the blue-red threshold — and red sequence consolidation — the red sequence becoming more concentrated and sharply bounded even after the crossing rate decelerates.</w:t>
      </w:r>
    </w:p>
    <w:p>
      <w:pPr>
        <w:spacing w:after="120" w:before="0" w:line="276"/>
      </w:pPr>
      <w:r>
        <w:rPr>
          <w:rFonts w:ascii="Times New Roman" w:cs="Times New Roman" w:eastAsia="Times New Roman" w:hAnsi="Times New Roman"/>
          <w:sz w:val="22"/>
          <w:szCs w:val="22"/>
        </w:rPr>
        <w:t xml:space="preserve">We address both questions using GAMA DR4 (Driver et al. 2022), exploiting its group catalogue (Robotham et al. 2011) and environment measures (Brough et al. 2013).</w:t>
      </w:r>
    </w:p>
    <w:p>
      <w:pPr>
        <w:pStyle w:val="Heading1"/>
        <w:spacing w:after="80" w:before="200"/>
      </w:pPr>
      <w:r>
        <w:rPr>
          <w:rFonts w:ascii="Arial" w:cs="Arial" w:eastAsia="Arial" w:hAnsi="Arial"/>
          <w:b/>
          <w:bCs/>
          <w:sz w:val="24"/>
          <w:szCs w:val="24"/>
        </w:rPr>
        <w:t xml:space="preserve">2. Data and Sample</w:t>
      </w:r>
    </w:p>
    <w:p>
      <w:pPr>
        <w:spacing w:after="120" w:before="0" w:line="276"/>
      </w:pPr>
      <w:r>
        <w:rPr>
          <w:rFonts w:ascii="Times New Roman" w:cs="Times New Roman" w:eastAsia="Times New Roman" w:hAnsi="Times New Roman"/>
          <w:sz w:val="22"/>
          <w:szCs w:val="22"/>
        </w:rPr>
        <w:t xml:space="preserve">GAMA DR4 StellarMassesLambdarv24 (200,077 galaxies), quality cuts 0.5 &lt; u−r &lt; 4.0, log M∗ &gt; 8.0, 0.002 &lt; z &lt; 0.35: 165,488 galaxies for shape analysis. Partial correlation additionally uses G3CGalv10 (group membership), G3CFoFGroupv10 (halo mass proxy MassA), and EnvironmentMeasuresv06 (CountInCyl, DistanceTo5nn, SurfaceDensity, AGEDenPar). Elliptical subsample: VisualMorphologyv03 ELLIPTICAL_CODE = 1, N = 1,270. Full group population N = 22,531.</w:t>
      </w:r>
    </w:p>
    <w:p>
      <w:pPr>
        <w:pStyle w:val="Heading1"/>
        <w:spacing w:after="80" w:before="200"/>
      </w:pPr>
      <w:r>
        <w:rPr>
          <w:rFonts w:ascii="Arial" w:cs="Arial" w:eastAsia="Arial" w:hAnsi="Arial"/>
          <w:b/>
          <w:bCs/>
          <w:sz w:val="24"/>
          <w:szCs w:val="24"/>
        </w:rPr>
        <w:t xml:space="preserve">3. Methods</w:t>
      </w:r>
    </w:p>
    <w:p>
      <w:pPr>
        <w:pStyle w:val="Heading2"/>
        <w:spacing w:after="60" w:before="160"/>
      </w:pPr>
      <w:r>
        <w:rPr>
          <w:rFonts w:ascii="Arial" w:cs="Arial" w:eastAsia="Arial" w:hAnsi="Arial"/>
          <w:b/>
          <w:bCs/>
          <w:sz w:val="22"/>
          <w:szCs w:val="22"/>
        </w:rPr>
        <w:t xml:space="preserve">3.1 Partial Correlation</w:t>
      </w:r>
    </w:p>
    <w:p>
      <w:pPr>
        <w:spacing w:after="120" w:before="0" w:line="276"/>
      </w:pPr>
      <w:r>
        <w:rPr>
          <w:rFonts w:ascii="Times New Roman" w:cs="Times New Roman" w:eastAsia="Times New Roman" w:hAnsi="Times New Roman"/>
          <w:sz w:val="22"/>
          <w:szCs w:val="22"/>
        </w:rPr>
        <w:t xml:space="preserve">We residualise both u−r and each log-environment measure against log(MassA) via linear regression and correlate residuals (Pearson and Spearman). Results at individual galaxy level and group level (mean u−r; red fraction f_red = fraction with u−r &gt; 2.1).</w:t>
      </w:r>
    </w:p>
    <w:p>
      <w:pPr>
        <w:pStyle w:val="Heading2"/>
        <w:spacing w:after="60" w:before="160"/>
      </w:pPr>
      <w:r>
        <w:rPr>
          <w:rFonts w:ascii="Arial" w:cs="Arial" w:eastAsia="Arial" w:hAnsi="Arial"/>
          <w:b/>
          <w:bCs/>
          <w:sz w:val="22"/>
          <w:szCs w:val="22"/>
        </w:rPr>
        <w:t xml:space="preserve">3.2 Distribution Shape Evolution</w:t>
      </w:r>
    </w:p>
    <w:p>
      <w:pPr>
        <w:spacing w:after="120" w:before="0" w:line="276"/>
      </w:pPr>
      <w:r>
        <w:rPr>
          <w:rFonts w:ascii="Times New Roman" w:cs="Times New Roman" w:eastAsia="Times New Roman" w:hAnsi="Times New Roman"/>
          <w:sz w:val="22"/>
          <w:szCs w:val="22"/>
        </w:rPr>
        <w:t xml:space="preserve">Seven equal-width redshift bins (z = 0.002–0.35, Δz = 0.05; N = 3,900–34,000). In each bin we compute skewness, excess kurtosis, and Box–Cox λ. Johnson SU parameters are reported in Appendix A; they show numerical instability and are excluded from the main analysis. We bootstrap 500 same-sized subsamples from the full pool to build 95% null envelopes and apply Spearman and Kendall rank tests for monotonic trend.</w:t>
      </w:r>
    </w:p>
    <w:p>
      <w:pPr>
        <w:pStyle w:val="Heading2"/>
        <w:spacing w:after="60" w:before="160"/>
      </w:pPr>
      <w:r>
        <w:rPr>
          <w:rFonts w:ascii="Arial" w:cs="Arial" w:eastAsia="Arial" w:hAnsi="Arial"/>
          <w:b/>
          <w:bCs/>
          <w:sz w:val="22"/>
          <w:szCs w:val="22"/>
        </w:rPr>
        <w:t xml:space="preserve">3.3 Red Fraction and λ Comparison</w:t>
      </w:r>
    </w:p>
    <w:p>
      <w:pPr>
        <w:spacing w:after="120" w:before="0" w:line="276"/>
      </w:pPr>
      <w:r>
        <w:rPr>
          <w:rFonts w:ascii="Times New Roman" w:cs="Times New Roman" w:eastAsia="Times New Roman" w:hAnsi="Times New Roman"/>
          <w:sz w:val="22"/>
          <w:szCs w:val="22"/>
        </w:rPr>
        <w:t xml:space="preserve">Red fraction f_red is computed in each redshift bin as the fraction of galaxies with u−r &gt; 2.1. Both f_red and λ are normalised to [0,1] over the seven bins to place them on a common scale, enabling direct comparison of their rates of change. The dλ/dz to d(f_red)/dz ratio quantifies the relative sensitivity of each statistic to the ongoing quenching process.</w:t>
      </w:r>
    </w:p>
    <w:p>
      <w:pPr>
        <w:pStyle w:val="Heading1"/>
        <w:spacing w:after="80" w:before="200"/>
      </w:pPr>
      <w:r>
        <w:rPr>
          <w:rFonts w:ascii="Arial" w:cs="Arial" w:eastAsia="Arial" w:hAnsi="Arial"/>
          <w:b/>
          <w:bCs/>
          <w:sz w:val="24"/>
          <w:szCs w:val="24"/>
        </w:rPr>
        <w:t xml:space="preserve">4. Results</w:t>
      </w:r>
    </w:p>
    <w:p>
      <w:pPr>
        <w:pStyle w:val="Heading2"/>
        <w:spacing w:after="60" w:before="160"/>
      </w:pPr>
      <w:r>
        <w:rPr>
          <w:rFonts w:ascii="Arial" w:cs="Arial" w:eastAsia="Arial" w:hAnsi="Arial"/>
          <w:b/>
          <w:bCs/>
          <w:sz w:val="22"/>
          <w:szCs w:val="22"/>
        </w:rPr>
        <w:t xml:space="preserve">4.1 Halo Mass Fully Mediates Colour–Environment for Ellipticals</w:t>
      </w:r>
    </w:p>
    <w:p>
      <w:pPr>
        <w:spacing w:after="120" w:before="0" w:line="276"/>
      </w:pPr>
      <w:r>
        <w:rPr>
          <w:rFonts w:ascii="Times New Roman" w:cs="Times New Roman" w:eastAsia="Times New Roman" w:hAnsi="Times New Roman"/>
          <w:sz w:val="22"/>
          <w:szCs w:val="22"/>
        </w:rPr>
        <w:t xml:space="preserve">Table 1 shows raw and partial Pearson correlations for the elliptical subsample. Raw r = 0.07–0.09; after controlling for log(MassA) all partial correlations collapse to r ≈ 0 (p &gt; 0.3). At the group level (N = 242 groups) raw r rises to 0.13–0.15 but again collapses after halo control.</w:t>
      </w:r>
    </w:p>
    <w:p>
      <w:pPr>
        <w:spacing w:after="120" w:before="6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Partial correlation — ellipticals, controlling for log(MassA)</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800"/>
        <w:gridCol w:w="800"/>
        <w:gridCol w:w="900"/>
        <w:gridCol w:w="900"/>
      </w:tblGrid>
      <w:tr>
        <w:tc>
          <w:tcPr>
            <w:tcW w:type="dxa" w:w="14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Environment measure</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Raw r</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Raw p</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Partial 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Partial p</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Sig?</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Individual level (N = 1,270)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log(CountInCyl)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0.019</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0.296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log(DistanceTo5nn)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-0.090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0.001</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log(SurfaceDensity)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+0.089</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0.869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log(AGEDenPar)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+0.071</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Group level (N = 242 groups)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log(CountInCyl)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+0.133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0.039</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log(DistanceTo5nn)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-0.046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0.480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log(SurfaceDensity)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+0.044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0.492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log(AGEDenPar)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+0.037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0.572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0.808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No</w:t>
            </w:r>
          </w:p>
        </w:tc>
      </w:tr>
    </w:tbl>
    <w:p>
      <w:pPr>
        <w:spacing w:after="120" w:before="60"/>
      </w:pPr>
      <w:r>
        <w:rPr>
          <w:rFonts w:ascii="Times New Roman" w:cs="Times New Roman" w:eastAsia="Times New Roman" w:hAnsi="Times New Roman"/>
          <w:i/>
          <w:iCs/>
          <w:sz w:val="20"/>
          <w:szCs w:val="20"/>
        </w:rPr>
        <w:t xml:space="preserve">All partial correlations statistically indistinguishable from zero (p &gt; 0.3).</w:t>
      </w:r>
    </w:p>
    <w:p>
      <w:pPr>
        <w:pStyle w:val="Heading2"/>
        <w:spacing w:after="60" w:before="160"/>
      </w:pPr>
      <w:r>
        <w:rPr>
          <w:rFonts w:ascii="Arial" w:cs="Arial" w:eastAsia="Arial" w:hAnsi="Arial"/>
          <w:b/>
          <w:bCs/>
          <w:sz w:val="22"/>
          <w:szCs w:val="22"/>
        </w:rPr>
        <w:t xml:space="preserve">4.2 Independent Environment Signal for the Full Population</w:t>
      </w:r>
    </w:p>
    <w:p>
      <w:pPr>
        <w:spacing w:after="120" w:before="0" w:line="276"/>
      </w:pPr>
      <w:r>
        <w:rPr>
          <w:rFonts w:ascii="Times New Roman" w:cs="Times New Roman" w:eastAsia="Times New Roman" w:hAnsi="Times New Roman"/>
          <w:sz w:val="22"/>
          <w:szCs w:val="22"/>
        </w:rPr>
        <w:t xml:space="preserve">For all galaxy types (N = 22,531 individuals; 5,775 groups), raw r = 0.18–0.25, remaining significant after halo control (partial r = 0.10–0.16, all p &lt; 10⁻⁵⁵). Approximately 45–58% of the raw signal survives, indicating a secondary pathway.</w:t>
      </w:r>
    </w:p>
    <w:p>
      <w:pPr>
        <w:spacing w:after="120" w:before="60"/>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Partial correlation — full population, controlling for log(MassA)</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900"/>
        <w:gridCol w:w="900"/>
        <w:gridCol w:w="800"/>
      </w:tblGrid>
      <w:tr>
        <w:tc>
          <w:tcPr>
            <w:tcW w:type="dxa" w:w="14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Environment measure</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Raw 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Raw p</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Partial r</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Partial p</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 ret.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Individual level (N = 22,531)</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log(CountInCyl)</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8×10⁻²⁹²</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+0.109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7×10⁻⁶¹</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45.6%</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log(DistanceTo5nn)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3×10⁻³⁰⁴</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4×10⁻⁷⁸</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50.8%</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log(SurfaceDensity)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+0.245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1×10⁻³⁰⁴</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3×10⁻⁷⁸</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50.8%</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log(AGEDenPar)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2×10⁻¹⁶⁰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+0.104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2×10⁻⁵⁵</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58.4%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Group level (N = 5,775) — mean u−r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log(CountInCyl)</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+0.234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+0.160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68.4%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log(DistanceTo5nn)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-0.153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67.1%</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log(SurfaceDensity)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+0.153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67.1%</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log(AGEDenPar)</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+0.154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&lt;10⁻³⁰⁰</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83.1%</w:t>
            </w:r>
          </w:p>
        </w:tc>
      </w:tr>
    </w:tbl>
    <w:p>
      <w:pPr>
        <w:spacing w:after="120" w:before="60"/>
      </w:pPr>
      <w:r>
        <w:rPr>
          <w:rFonts w:ascii="Times New Roman" w:cs="Times New Roman" w:eastAsia="Times New Roman" w:hAnsi="Times New Roman"/>
          <w:i/>
          <w:iCs/>
          <w:sz w:val="20"/>
          <w:szCs w:val="20"/>
        </w:rPr>
        <w:t xml:space="preserve">All partial correlations remain highly significant (p &lt;&lt; 0.05).</w:t>
      </w:r>
    </w:p>
    <w:p>
      <w:pPr>
        <w:pStyle w:val="Heading2"/>
        <w:spacing w:after="60" w:before="160"/>
      </w:pPr>
      <w:r>
        <w:rPr>
          <w:rFonts w:ascii="Arial" w:cs="Arial" w:eastAsia="Arial" w:hAnsi="Arial"/>
          <w:b/>
          <w:bCs/>
          <w:sz w:val="22"/>
          <w:szCs w:val="22"/>
        </w:rPr>
        <w:t xml:space="preserve">4.3 Colour Distribution Shape Evolves Monotonically with Redshift</w:t>
      </w:r>
    </w:p>
    <w:p>
      <w:pPr>
        <w:spacing w:after="120" w:before="0" w:line="276"/>
      </w:pPr>
      <w:r>
        <w:rPr>
          <w:rFonts w:ascii="Times New Roman" w:cs="Times New Roman" w:eastAsia="Times New Roman" w:hAnsi="Times New Roman"/>
          <w:sz w:val="22"/>
          <w:szCs w:val="22"/>
        </w:rPr>
        <w:t xml:space="preserve">Table 3 and Figure 1 show Box–Cox λ and skewness against redshift with bootstrap null envelopes. Both parameters lie outside the null at every bin. Skewness shifts from +0.90 at z = 0.026 to −0.82 at z = 0.325 (Spearman r = −1.000, p = 4.0×10⁻⁴). Box–Cox λ increases from −0.20 to +2.70 (Spearman r = +1.000, p = 4.0×10⁻⁴). The sign flip in skewness reflects the progressive consolidation of the red sequence. The transition through λ = 0 near z ≈ 0.08 marks the approximate epoch at which the colour distribution crosses from sub-log-Normal to supra-Normal breadth.</w:t>
      </w:r>
    </w:p>
    <w:p>
      <w:pPr>
        <w:spacing w:after="120" w:before="60"/>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u−r distribution shape parameters by redshift bin</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tblGrid>
      <w:tr>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 centre</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Box-Cox λ</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Skewness</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Excess kurtosis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16,579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+0.263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-0.750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29,589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-1.046</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32,999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-0.387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-0.897</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-0.523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-0.623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33,685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-0.745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21,588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+0.069</w:t>
            </w:r>
          </w:p>
        </w:tc>
      </w:tr>
    </w:tbl>
    <w:p>
      <w:pPr>
        <w:spacing w:after="120" w:before="60"/>
      </w:pPr>
      <w:r>
        <w:rPr>
          <w:rFonts w:ascii="Times New Roman" w:cs="Times New Roman" w:eastAsia="Times New Roman" w:hAnsi="Times New Roman"/>
          <w:i/>
          <w:iCs/>
          <w:sz w:val="20"/>
          <w:szCs w:val="20"/>
        </w:rPr>
        <w:t xml:space="preserve">Spearman r(λ,z) = +1.000, p = 4.0×10⁻⁴; Spearman r(Skew,z) = −1.000, p = 4.0×10⁻⁴. All bins lie outside the bootstrap 95% null envelope.</w:t>
      </w:r>
    </w:p>
    <w:p>
      <w:pPr>
        <w:spacing w:after="120" w:before="60"/>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Box–Cox λ (left) and skewness (right) of the u−r colour distribution vs redshift. Grey band = 95% bootstrap null envelope (500 iterations). Red stars mark bins where the observed value lies outside the null. Both parameters show perfect monotonic trends (Spearman |r| = 1.00, p = 4×10⁻⁴).</w:t>
      </w:r>
    </w:p>
    <w:p>
      <w:pPr>
        <w:pStyle w:val="Heading2"/>
        <w:spacing w:after="60" w:before="160"/>
      </w:pPr>
      <w:r>
        <w:rPr>
          <w:rFonts w:ascii="Arial" w:cs="Arial" w:eastAsia="Arial" w:hAnsi="Arial"/>
          <w:b/>
          <w:bCs/>
          <w:sz w:val="22"/>
          <w:szCs w:val="22"/>
        </w:rPr>
        <w:t xml:space="preserve">4.4 Red Fraction and λ Reveal Two Decoupled Quenching Processes</w:t>
      </w:r>
    </w:p>
    <w:p>
      <w:pPr>
        <w:spacing w:after="120" w:before="0" w:line="276"/>
      </w:pPr>
      <w:r>
        <w:rPr>
          <w:rFonts w:ascii="Times New Roman" w:cs="Times New Roman" w:eastAsia="Times New Roman" w:hAnsi="Times New Roman"/>
          <w:sz w:val="22"/>
          <w:szCs w:val="22"/>
        </w:rPr>
        <w:t xml:space="preserve">Table 4 and Figure 2 compare the red fraction f_red with Box–Cox λ across the seven redshift bins. Spearman r(f_red, λ) = 1.000, confirming perfect rank agreement. Despite this monotonic correlation, the two statistics evolve at markedly different rates.</w:t>
      </w:r>
    </w:p>
    <w:p>
      <w:pPr>
        <w:spacing w:after="120" w:before="60"/>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Red fraction and Box–Cox λ by redshift bin</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tblGrid>
      <w:tr>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 centre</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Red fraction</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Box-Cox λ</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|λ − 1|</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1.200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16,579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0.219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0.569</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29,589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0.336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32,999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0.694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0.995</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0.275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33,685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0.468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1.532</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21,588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0.477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1.701</w:t>
            </w:r>
          </w:p>
        </w:tc>
      </w:tr>
    </w:tbl>
    <w:p>
      <w:pPr>
        <w:spacing w:after="120" w:before="60"/>
      </w:pPr>
      <w:r>
        <w:rPr>
          <w:rFonts w:ascii="Times New Roman" w:cs="Times New Roman" w:eastAsia="Times New Roman" w:hAnsi="Times New Roman"/>
          <w:i/>
          <w:iCs/>
          <w:sz w:val="20"/>
          <w:szCs w:val="20"/>
        </w:rPr>
        <w:t xml:space="preserve">Spearman r(f_red, λ) = +1.000. Red fraction = fraction of galaxies with u−r &gt; 2.1. |λ − 1| measures distance from a Normal distribution (λ = 1 is the Normal point).</w:t>
      </w:r>
    </w:p>
    <w:p>
      <w:pPr>
        <w:spacing w:after="120" w:before="0" w:line="276"/>
      </w:pPr>
      <w:r>
        <w:rPr>
          <w:rFonts w:ascii="Times New Roman" w:cs="Times New Roman" w:eastAsia="Times New Roman" w:hAnsi="Times New Roman"/>
          <w:sz w:val="22"/>
          <w:szCs w:val="22"/>
        </w:rPr>
        <w:t xml:space="preserve">When both statistics are normalised to [0,1], the red fraction consistently leads λ between z = 0.075 and z = 0.275 (Figure 2, centre panel), with maximum divergence near z = 0.175 (normalised difference = 0.13). This means that, relative to its total range, the red fraction rises faster than λ across low-to-mid redshift, and λ catches up only at the extremes.</w:t>
      </w:r>
    </w:p>
    <w:p>
      <w:pPr>
        <w:spacing w:after="120" w:before="0" w:line="276"/>
      </w:pPr>
      <w:r>
        <w:rPr>
          <w:rFonts w:ascii="Times New Roman" w:cs="Times New Roman" w:eastAsia="Times New Roman" w:hAnsi="Times New Roman"/>
          <w:sz w:val="22"/>
          <w:szCs w:val="22"/>
        </w:rPr>
        <w:t xml:space="preserve">The dλ/dz : d(f_red)/dz ratio, which measures the relative sensitivity of each statistic per unit redshift, increases monotonically from ~6 at z ≈ 0.10 to ~19 at z ≈ 0.30. As the red fraction growth decelerates — dropping from Δf_red = 0.12 per bin in the z = 0.10–0.15 interval to Δf_red = 0.009 in the z = 0.30–0.35 interval — λ continues to rise steeply. At the highest redshift bins, λ detects structural change in the colour distribution that threshold counting is nearly insensitive to.</w:t>
      </w:r>
    </w:p>
    <w:p>
      <w:pPr>
        <w:spacing w:after="120" w:before="0" w:line="276"/>
      </w:pPr>
      <w:r>
        <w:rPr>
          <w:rFonts w:ascii="Times New Roman" w:cs="Times New Roman" w:eastAsia="Times New Roman" w:hAnsi="Times New Roman"/>
          <w:sz w:val="22"/>
          <w:szCs w:val="22"/>
        </w:rPr>
        <w:t xml:space="preserve">We interpret this divergence as the signature of two physically distinct processes acting on different timescales. Active quenching — galaxies transitioning from blue cloud to red sequence and crossing the u−r &gt; 2.1 threshold — drives f_red and dominates at low-to-mid redshift (z &lt; 0.15). Red sequence consolidation — the galaxies already on the red sequence becoming more concentrated and the distribution acquiring a sharper left boundary — drives λ without necessarily changing f_red, and dominates at higher redshift in the GAMA sample. The |λ − 1| column in Table 4 quantifies the non-Normality of the distribution: it peaks at the lowest and highest redshifts, with a minimum of 0.125 near z = 0.125, the bin most consistent with a Gaussian colour distribution.</w:t>
      </w:r>
    </w:p>
    <w:p>
      <w:pPr>
        <w:spacing w:after="120" w:before="60"/>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Left: Box–Cox λ and red fraction (u−r &gt; 2.1) vs redshift on dual y-axes. Centre: both statistics normalised to [0,1] — the shaded gap shows where red fraction leads (pink) or λ leads (blue). Right: rates of change dλ/dz and d(f_red)/dz per redshift bin, showing the decoupling between threshold crossing and distribution consolidation at z &gt; 0.15.</w:t>
      </w:r>
    </w:p>
    <w:p>
      <w:pPr>
        <w:pStyle w:val="Heading1"/>
        <w:spacing w:after="80" w:before="200"/>
      </w:pPr>
      <w:r>
        <w:rPr>
          <w:rFonts w:ascii="Arial" w:cs="Arial" w:eastAsia="Arial" w:hAnsi="Arial"/>
          <w:b/>
          <w:bCs/>
          <w:sz w:val="24"/>
          <w:szCs w:val="24"/>
        </w:rPr>
        <w:t xml:space="preserve">5. Discussion</w:t>
      </w:r>
    </w:p>
    <w:p>
      <w:pPr>
        <w:spacing w:after="120" w:before="0" w:line="276"/>
      </w:pPr>
      <w:r>
        <w:rPr>
          <w:rFonts w:ascii="Times New Roman" w:cs="Times New Roman" w:eastAsia="Times New Roman" w:hAnsi="Times New Roman"/>
          <w:sz w:val="22"/>
          <w:szCs w:val="22"/>
        </w:rPr>
        <w:t xml:space="preserve">Our partial correlation results align with the picture that halo mass is the primary driver of colour–environment correlations for morphologically selected red galaxies (Peng et al. 2012; Woo et al. 2013). Complete mediation for ellipticals suggests that once a galaxy has settled into a massive halo and undergone morphological transformation, residual local environment adds little further quenching pressure. The ~50% survival of the signal in the full population points to secondary processes consistent with harassment and tidal stripping acting preferentially on late-type discs (Moore et al. 1996).</w:t>
      </w:r>
    </w:p>
    <w:p>
      <w:pPr>
        <w:spacing w:after="120" w:before="0" w:line="276"/>
      </w:pPr>
      <w:r>
        <w:rPr>
          <w:rFonts w:ascii="Times New Roman" w:cs="Times New Roman" w:eastAsia="Times New Roman" w:hAnsi="Times New Roman"/>
          <w:sz w:val="22"/>
          <w:szCs w:val="22"/>
        </w:rPr>
        <w:t xml:space="preserve">The distribution shape results offer a model-independent complement. Perfect monotonic Spearman trends (|r| = 1.00, p &lt; 0.001) across seven independent redshift bins, combined with consistent departure from the bootstrap null, constitute strong evidence of real physical evolution — a direct quantitative answer to the objection that shape differences merely reflect statistical variation.</w:t>
      </w:r>
    </w:p>
    <w:p>
      <w:pPr>
        <w:spacing w:after="120" w:before="0" w:line="276"/>
      </w:pPr>
      <w:r>
        <w:rPr>
          <w:rFonts w:ascii="Times New Roman" w:cs="Times New Roman" w:eastAsia="Times New Roman" w:hAnsi="Times New Roman"/>
          <w:sz w:val="22"/>
          <w:szCs w:val="22"/>
        </w:rPr>
        <w:t xml:space="preserve">The comparison of λ with the red fraction (§4.4) introduces a further diagnostic dimension. Because λ captures the full distributional shape rather than counting galaxies above a fixed threshold, it remains sensitive to structural changes in the red sequence even when active quenching — and therefore f_red — has largely saturated. The increasing dλ/d(f_red) ratio with redshift (from ~8 to ~19 across the GAMA range) implies that at z &gt; 0.2, the dominant evolutionary process is consolidation of an already-red population rather than recruitment of new red galaxies. This is consistent with the passive evolution of massive red-sequence galaxies dominating at low-to-moderate redshift (Blanton &amp; Moustakas 2009), and with the Malmquist-selected nature of the high-z GAMA bins. We note, however, that disentangling genuine evolutionary consolidation from flux-limit selection bias requires a stellar-mass-complete subsample — a test we defer to future work.</w:t>
      </w:r>
    </w:p>
    <w:p>
      <w:pPr>
        <w:pStyle w:val="Heading1"/>
        <w:spacing w:after="80" w:before="200"/>
      </w:pPr>
      <w:r>
        <w:rPr>
          <w:rFonts w:ascii="Arial" w:cs="Arial" w:eastAsia="Arial" w:hAnsi="Arial"/>
          <w:b/>
          <w:bCs/>
          <w:sz w:val="24"/>
          <w:szCs w:val="24"/>
        </w:rPr>
        <w:t xml:space="preserve">6. Conclusions</w:t>
      </w:r>
    </w:p>
    <w:p>
      <w:pPr>
        <w:pStyle w:val="ListParagraph"/>
        <w:numPr>
          <w:ilvl w:val="0"/>
          <w:numId w:val="2"/>
        </w:numPr>
        <w:spacing w:after="80" w:before="0"/>
      </w:pPr>
      <w:r>
        <w:rPr>
          <w:rFonts w:ascii="Times New Roman" w:cs="Times New Roman" w:eastAsia="Times New Roman" w:hAnsi="Times New Roman"/>
          <w:sz w:val="22"/>
          <w:szCs w:val="22"/>
        </w:rPr>
        <w:t xml:space="preserve">Halo mass fully mediates colour–environment for elliptical galaxies (N = 1,270); partial correlations collapse to r ≈ 0 after controlling for log(MassA).</w:t>
      </w:r>
    </w:p>
    <w:p>
      <w:pPr>
        <w:pStyle w:val="ListParagraph"/>
        <w:numPr>
          <w:ilvl w:val="0"/>
          <w:numId w:val="2"/>
        </w:numPr>
        <w:spacing w:after="80" w:before="0"/>
      </w:pPr>
      <w:r>
        <w:rPr>
          <w:rFonts w:ascii="Times New Roman" w:cs="Times New Roman" w:eastAsia="Times New Roman" w:hAnsi="Times New Roman"/>
          <w:sz w:val="22"/>
          <w:szCs w:val="22"/>
        </w:rPr>
        <w:t xml:space="preserve">For the full galaxy population (N = 22,531), ~50% of the signal survives halo control, indicating a morphology-linked secondary pathway.</w:t>
      </w:r>
    </w:p>
    <w:p>
      <w:pPr>
        <w:pStyle w:val="ListParagraph"/>
        <w:numPr>
          <w:ilvl w:val="0"/>
          <w:numId w:val="2"/>
        </w:numPr>
        <w:spacing w:after="80" w:before="0"/>
      </w:pPr>
      <w:r>
        <w:rPr>
          <w:rFonts w:ascii="Times New Roman" w:cs="Times New Roman" w:eastAsia="Times New Roman" w:hAnsi="Times New Roman"/>
          <w:sz w:val="22"/>
          <w:szCs w:val="22"/>
        </w:rPr>
        <w:t xml:space="preserve">Skewness and Box–Cox λ evolve monotonically with redshift (|Spearman r| = 1.00, p = 4×10⁻⁴): skewness from +0.90 to −0.82 and λ from −0.20 to +2.70, inconsistent with sampling noise and consistent with progressive consolidation of the red sequence.</w:t>
      </w:r>
    </w:p>
    <w:p>
      <w:pPr>
        <w:pStyle w:val="ListParagraph"/>
        <w:numPr>
          <w:ilvl w:val="0"/>
          <w:numId w:val="2"/>
        </w:numPr>
        <w:spacing w:after="80" w:before="0"/>
      </w:pPr>
      <w:r>
        <w:rPr>
          <w:rFonts w:ascii="Times New Roman" w:cs="Times New Roman" w:eastAsia="Times New Roman" w:hAnsi="Times New Roman"/>
          <w:sz w:val="22"/>
          <w:szCs w:val="22"/>
        </w:rPr>
        <w:t xml:space="preserve">Comparison of λ with the red fraction reveals two decoupled processes: active threshold crossing dominates at z &lt; 0.15; red sequence consolidation, detected by λ but not f_red, dominates at higher redshift. The dλ/d(f_red) sensitivity ratio increases monotonically from ~8 to ~19 across z = 0.05–0.30.</w:t>
      </w:r>
    </w:p>
    <w:p>
      <w:pPr>
        <w:pStyle w:val="ListParagraph"/>
        <w:numPr>
          <w:ilvl w:val="0"/>
          <w:numId w:val="2"/>
        </w:numPr>
        <w:spacing w:after="80" w:before="0"/>
      </w:pPr>
      <w:r>
        <w:rPr>
          <w:rFonts w:ascii="Times New Roman" w:cs="Times New Roman" w:eastAsia="Times New Roman" w:hAnsi="Times New Roman"/>
          <w:sz w:val="22"/>
          <w:szCs w:val="22"/>
        </w:rPr>
        <w:t xml:space="preserve">Box–Cox λ provides information about colour distribution shape beyond what a fixed-threshold red fraction can capture, and is recommended as a complementary statistic in redshift-resolved quenching analyses.</w:t>
      </w:r>
    </w:p>
    <w:p>
      <w:pPr>
        <w:pStyle w:val="Heading1"/>
        <w:spacing w:after="80" w:before="200"/>
      </w:pPr>
      <w:r>
        <w:rPr>
          <w:rFonts w:ascii="Arial" w:cs="Arial" w:eastAsia="Arial" w:hAnsi="Arial"/>
          <w:b/>
          <w:bCs/>
          <w:sz w:val="24"/>
          <w:szCs w:val="24"/>
        </w:rPr>
        <w:t xml:space="preserve">Data Availability</w:t>
      </w:r>
    </w:p>
    <w:p>
      <w:pPr>
        <w:spacing w:after="120" w:before="0" w:line="276"/>
      </w:pPr>
      <w:r>
        <w:rPr>
          <w:rFonts w:ascii="Times New Roman" w:cs="Times New Roman" w:eastAsia="Times New Roman" w:hAnsi="Times New Roman"/>
          <w:sz w:val="22"/>
          <w:szCs w:val="22"/>
        </w:rPr>
        <w:t xml:space="preserve">GAMA DR4: https://www.gama-survey.org/dr4/. Analysis notebooks available on request.</w:t>
      </w:r>
    </w:p>
    <w:p>
      <w:pPr>
        <w:pStyle w:val="Heading1"/>
        <w:spacing w:after="80" w:before="200"/>
      </w:pPr>
      <w:r>
        <w:rPr>
          <w:rFonts w:ascii="Arial" w:cs="Arial" w:eastAsia="Arial" w:hAnsi="Arial"/>
          <w:b/>
          <w:bCs/>
          <w:sz w:val="24"/>
          <w:szCs w:val="24"/>
        </w:rPr>
        <w:t xml:space="preserve">Appendix A: Johnson SU Fit Parameters</w:t>
      </w:r>
    </w:p>
    <w:p>
      <w:pPr>
        <w:spacing w:after="120" w:before="0" w:line="276"/>
      </w:pPr>
      <w:r>
        <w:rPr>
          <w:rFonts w:ascii="Times New Roman" w:cs="Times New Roman" w:eastAsia="Times New Roman" w:hAnsi="Times New Roman"/>
          <w:sz w:val="22"/>
          <w:szCs w:val="22"/>
        </w:rPr>
        <w:t xml:space="preserve">Table A1 gives the full set of shape parameters including Johnson SU (a, b). The JSU a parameter shows large non-monotonic variation despite the smooth evolution of skewness and λ, arising from correlation between a and b on a near-flat likelihood ridge.</w:t>
      </w:r>
    </w:p>
    <w:p>
      <w:pPr>
        <w:spacing w:after="120" w:before="60"/>
      </w:pPr>
      <w:r>
        <w:rPr>
          <w:rFonts w:ascii="Times New Roman" w:cs="Times New Roman" w:eastAsia="Times New Roman" w:hAnsi="Times New Roman"/>
          <w:b/>
          <w:bCs/>
          <w:sz w:val="22"/>
          <w:szCs w:val="22"/>
        </w:rPr>
        <w:t xml:space="preserve">Table A1. </w:t>
      </w:r>
      <w:r>
        <w:rPr>
          <w:rFonts w:ascii="Times New Roman" w:cs="Times New Roman" w:eastAsia="Times New Roman" w:hAnsi="Times New Roman"/>
          <w:sz w:val="22"/>
          <w:szCs w:val="22"/>
        </w:rPr>
        <w:t xml:space="preserve">Full shape parameters including Johnson SU</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900"/>
        <w:gridCol w:w="900"/>
        <w:gridCol w:w="900"/>
        <w:gridCol w:w="900"/>
        <w:gridCol w:w="800"/>
      </w:tblGrid>
      <w:tr>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JSU a</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JSU b</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Box-Cox λ</w:t>
            </w:r>
          </w:p>
        </w:tc>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Skewness</w:t>
            </w:r>
          </w:p>
        </w:tc>
        <w:tc>
          <w:tcPr>
            <w:tcW w:type="dxa" w:w="8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Kurt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-2.763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+2.210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+0.899</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16,579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-11.677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+5.925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+0.263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-0.750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29,589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+20.679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+7.171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-0.148</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-1.046</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32,999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+9.776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+3.566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-0.387</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-0.897</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27,116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+3.431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-0.523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-0.623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0.275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33,685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+1.752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+2.532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-0.745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0.325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21,588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+2.836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-0.821</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+0.069</w:t>
            </w:r>
          </w:p>
        </w:tc>
      </w:tr>
    </w:tbl>
    <w:p>
      <w:pPr>
        <w:spacing w:after="120" w:before="60"/>
      </w:pPr>
      <w:r>
        <w:rPr>
          <w:rFonts w:ascii="Times New Roman" w:cs="Times New Roman" w:eastAsia="Times New Roman" w:hAnsi="Times New Roman"/>
          <w:i/>
          <w:iCs/>
          <w:sz w:val="20"/>
          <w:szCs w:val="20"/>
        </w:rPr>
        <w:t xml:space="preserve">JSU a: Spearman r = +0.29, p = 0.53 (not significant). Box–Cox λ and skewness: |r| = 1.00, p &lt; 0.001. JSU a varies by &gt;30× while skewness changes by only 0.75 — instability is numerical, not physical.</w:t>
      </w:r>
    </w:p>
    <w:p>
      <w:pPr>
        <w:pStyle w:val="Heading1"/>
        <w:spacing w:after="80" w:before="200"/>
      </w:pPr>
      <w:r>
        <w:rPr>
          <w:rFonts w:ascii="Arial" w:cs="Arial" w:eastAsia="Arial" w:hAnsi="Arial"/>
          <w:b/>
          <w:bCs/>
          <w:sz w:val="24"/>
          <w:szCs w:val="24"/>
        </w:rPr>
        <w:t xml:space="preserve">References</w:t>
      </w:r>
    </w:p>
    <w:p>
      <w:pPr>
        <w:spacing w:after="120" w:before="0" w:line="276"/>
      </w:pPr>
      <w:r>
        <w:rPr>
          <w:rFonts w:ascii="Times New Roman" w:cs="Times New Roman" w:eastAsia="Times New Roman" w:hAnsi="Times New Roman"/>
          <w:sz w:val="22"/>
          <w:szCs w:val="22"/>
        </w:rPr>
        <w:t xml:space="preserve">Blanton M. R., Moustakas J. 2009, Physical Properties and Environments of Nearby Galaxies, ARA&amp;A, 47, 159</w:t>
      </w:r>
    </w:p>
    <w:p>
      <w:pPr>
        <w:spacing w:after="120" w:before="0" w:line="276"/>
      </w:pPr>
      <w:r>
        <w:rPr>
          <w:rFonts w:ascii="Times New Roman" w:cs="Times New Roman" w:eastAsia="Times New Roman" w:hAnsi="Times New Roman"/>
          <w:sz w:val="22"/>
          <w:szCs w:val="22"/>
        </w:rPr>
        <w:t xml:space="preserve">Box G. E. P., Cox D. R. 1964, An Analysis of Transformations, J. R. Stat. Soc. B, 26, 211</w:t>
      </w:r>
    </w:p>
    <w:p>
      <w:pPr>
        <w:spacing w:after="120" w:before="0" w:line="276"/>
      </w:pPr>
      <w:r>
        <w:rPr>
          <w:rFonts w:ascii="Times New Roman" w:cs="Times New Roman" w:eastAsia="Times New Roman" w:hAnsi="Times New Roman"/>
          <w:sz w:val="22"/>
          <w:szCs w:val="22"/>
        </w:rPr>
        <w:t xml:space="preserve">Brough S., et al. 2013, Galaxy And Mass Assembly: Resolving the Role of Environment in Galaxy Evolution, MNRAS, 435, 2903</w:t>
      </w:r>
    </w:p>
    <w:p>
      <w:pPr>
        <w:spacing w:after="120" w:before="0" w:line="276"/>
      </w:pPr>
      <w:r>
        <w:rPr>
          <w:rFonts w:ascii="Times New Roman" w:cs="Times New Roman" w:eastAsia="Times New Roman" w:hAnsi="Times New Roman"/>
          <w:sz w:val="22"/>
          <w:szCs w:val="22"/>
        </w:rPr>
        <w:t xml:space="preserve">Dressler A. 1980, Galaxy Morphology in Rich Clusters: Implications for the Formation and Evolution of Galaxies, ApJ, 236, 351</w:t>
      </w:r>
    </w:p>
    <w:p>
      <w:pPr>
        <w:spacing w:after="120" w:before="0" w:line="276"/>
      </w:pPr>
      <w:r>
        <w:rPr>
          <w:rFonts w:ascii="Times New Roman" w:cs="Times New Roman" w:eastAsia="Times New Roman" w:hAnsi="Times New Roman"/>
          <w:sz w:val="22"/>
          <w:szCs w:val="22"/>
        </w:rPr>
        <w:t xml:space="preserve">Driver S. P., et al. 2022, Galaxy And Mass Assembly (GAMA): Data Release 4, MNRAS, 513, 439</w:t>
      </w:r>
    </w:p>
    <w:p>
      <w:pPr>
        <w:spacing w:after="120" w:before="0" w:line="276"/>
      </w:pPr>
      <w:r>
        <w:rPr>
          <w:rFonts w:ascii="Times New Roman" w:cs="Times New Roman" w:eastAsia="Times New Roman" w:hAnsi="Times New Roman"/>
          <w:sz w:val="22"/>
          <w:szCs w:val="22"/>
        </w:rPr>
        <w:t xml:space="preserve">Johnson N. L. 1949, Systems of Frequency Curves Generated by Methods of Translation, Biometrika, 36, 149</w:t>
      </w:r>
    </w:p>
    <w:p>
      <w:pPr>
        <w:spacing w:after="120" w:before="0" w:line="276"/>
      </w:pPr>
      <w:r>
        <w:rPr>
          <w:rFonts w:ascii="Times New Roman" w:cs="Times New Roman" w:eastAsia="Times New Roman" w:hAnsi="Times New Roman"/>
          <w:sz w:val="22"/>
          <w:szCs w:val="22"/>
        </w:rPr>
        <w:t xml:space="preserve">Moore B., Katz N., Lake G., Dressler A., Oemler A. 1996, Galaxy Harassment and the Evolution of Clusters of Galaxies, Nature, 379, 613</w:t>
      </w:r>
    </w:p>
    <w:p>
      <w:pPr>
        <w:spacing w:after="120" w:before="0" w:line="276"/>
      </w:pPr>
      <w:r>
        <w:rPr>
          <w:rFonts w:ascii="Times New Roman" w:cs="Times New Roman" w:eastAsia="Times New Roman" w:hAnsi="Times New Roman"/>
          <w:sz w:val="22"/>
          <w:szCs w:val="22"/>
        </w:rPr>
        <w:t xml:space="preserve">Peng Y.-j., et al. 2012, Mass and Environment as Drivers of Galaxy Evolution. II., ApJ, 757, 4</w:t>
      </w:r>
    </w:p>
    <w:p>
      <w:pPr>
        <w:spacing w:after="120" w:before="0" w:line="276"/>
      </w:pPr>
      <w:r>
        <w:rPr>
          <w:rFonts w:ascii="Times New Roman" w:cs="Times New Roman" w:eastAsia="Times New Roman" w:hAnsi="Times New Roman"/>
          <w:sz w:val="22"/>
          <w:szCs w:val="22"/>
        </w:rPr>
        <w:t xml:space="preserve">Robotham A. S. G., et al. 2011, Galaxy and Mass Assembly (GAMA): The GAMA Galaxy Group Catalogue (G3Cv1), MNRAS, 416, 2640</w:t>
      </w:r>
    </w:p>
    <w:p>
      <w:pPr>
        <w:spacing w:after="120" w:before="0" w:line="276"/>
      </w:pPr>
      <w:r>
        <w:rPr>
          <w:rFonts w:ascii="Times New Roman" w:cs="Times New Roman" w:eastAsia="Times New Roman" w:hAnsi="Times New Roman"/>
          <w:sz w:val="22"/>
          <w:szCs w:val="22"/>
        </w:rPr>
        <w:t xml:space="preserve">Woo J., et al. 2013, Dependence of Galaxy Quenching on Halo Mass and Distance from its Centre, MNRAS, 428, 3306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sz w:val="24"/>
      <w:szCs w:val="24"/>
    </w:rPr>
  </w:style>
  <w:style w:type="paragraph" w:styleId="Heading2">
    <w:name w:val="Heading 2"/>
    <w:basedOn w:val="Normal"/>
    <w:next w:val="Normal"/>
    <w:qFormat/>
    <w:pPr>
      <w:spacing w:after="6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2026-06-06T09:17:26.276Z</dcterms:created>
  <dcterms:modified xsi:type="dcterms:W3CDTF">2026-06-06T09:17:26.276Z</dcterms:modified>
</cp:coreProperties>
</file>

<file path=docProps/custom.xml><?xml version="1.0" encoding="utf-8"?>
<Properties xmlns="http://schemas.openxmlformats.org/officeDocument/2006/custom-properties" xmlns:vt="http://schemas.openxmlformats.org/officeDocument/2006/docPropsVTypes"/>
</file>