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Box-Cox Lambda as a Redshift-Resolved Shape Statistic</w:t>
        <w:br/>
        <w:t>for Galaxy Colour Distributions:</w:t>
        <w:br/>
        <w:t>Advantages over Johnson SU Parameterisation</w:t>
      </w:r>
    </w:p>
    <w:p/>
    <w:p>
      <w:pPr>
        <w:jc w:val="center"/>
      </w:pPr>
      <w:r>
        <w:rPr>
          <w:b/>
        </w:rPr>
        <w:t>K. Sloan</w:t>
      </w:r>
      <w:r>
        <w:rPr>
          <w:i/>
        </w:rPr>
        <w:br/>
        <w:t>Independent Researcher</w:t>
        <w:br/>
        <w:t>working draft — target: MNRAS or A&amp;A Methods</w:t>
      </w:r>
    </w:p>
    <w:p/>
    <w:p>
      <w:pPr>
        <w:spacing w:after="40"/>
        <w:ind w:left="432"/>
      </w:pPr>
      <w:r>
        <w:rPr>
          <w:i/>
          <w:color w:val="606060"/>
          <w:sz w:val="19"/>
        </w:rPr>
        <w:t>Version 2 — numerical tables inserted. Run GenerateFigures.py to produce Fig1 and Fig2.</w:t>
      </w:r>
    </w:p>
    <w:p/>
    <w:p>
      <w:pPr>
        <w:pStyle w:val="Heading1"/>
      </w:pPr>
      <w:r>
        <w:rPr>
          <w:color w:val="1F497D"/>
          <w:sz w:val="26"/>
        </w:rPr>
        <w:t>Abstract</w:t>
      </w:r>
    </w:p>
    <w:p>
      <w:pPr>
        <w:spacing w:after="80"/>
      </w:pPr>
      <w:r>
        <w:t>We argue that the Box-Cox power parameter λ is a superior redshift-resolved shape statistic for galaxy colour distributions compared to the two shape parameters (a, b) of the Johnson SU family. Although the Johnson SU distribution is flexible and encompasses Normal and log-Normal limits, its shape parameters are strongly correlated under maximum-likelihood optimisation, producing numerical instability when tracking smoothly evolving distributions across redshift bins. Box-Cox λ is a single interpretable parameter — the power that best normalises a positive distribution — with a direct physical meaning: λ = 1 implies additive scatter, λ → 0 implies multiplicative (log-Normal) scatter, and λ &lt; 0 implies a distribution sharply bounded on one side. We demonstrate using u−r colour distributions for 165,488 GAMA DR4 galaxies in seven redshift bins (z = 0.002–0.35). Box-Cox λ increases monotonically from −0.20 to +2.70 (Spearman r = 1.000, p &lt; 0.001) while JSU parameter a jumps non-monotonically between −11.7 and +20.7 across the same bins. A bootstrap null test confirms the λ trend exceeds sampling noise at every bin.</w:t>
      </w:r>
    </w:p>
    <w:p/>
    <w:p>
      <w:pPr>
        <w:pStyle w:val="Heading1"/>
      </w:pPr>
      <w:r>
        <w:rPr>
          <w:color w:val="1F497D"/>
          <w:sz w:val="26"/>
        </w:rPr>
        <w:t>1. Introduction</w:t>
      </w:r>
    </w:p>
    <w:p>
      <w:pPr>
        <w:spacing w:after="80"/>
      </w:pPr>
      <w:r>
        <w:t>Parametric fitting of galaxy property distributions is common for characterising populations and tracking redshift evolution. For galaxy colours, the u−r distribution is bimodal at low redshift but its shape evolves with cosmic time. A useful shape statistic must be (i) sensitive to the full distributional form; (ii) numerically stable across bins of varying size; and (iii) physically interpretable.</w:t>
      </w:r>
    </w:p>
    <w:p>
      <w:pPr>
        <w:spacing w:after="80"/>
      </w:pPr>
      <w:r>
        <w:t>The Johnson SU distribution (Johnson 1949) is widely used in finance and engineering. Its two shape parameters a and b control skewness and kurtosis. In practice we find that maximum-likelihood estimates of a and b are strongly correlated — the likelihood surface is nearly flat along a ridge in (a, b) space — causing the optimiser to find numerically distant solutions for statistically equivalent data.</w:t>
      </w:r>
    </w:p>
    <w:p>
      <w:pPr>
        <w:spacing w:after="80"/>
      </w:pPr>
      <w:r>
        <w:t>The Box-Cox power transform (Box &amp; Cox 1964) provides a single-parameter alternative with a unimodal, well-conditioned likelihood surface and direct physical interpretation. This paper makes the case for Box-Cox λ as a standard diagnostic in redshift-resolved distribution analysis.</w:t>
      </w:r>
    </w:p>
    <w:p/>
    <w:p>
      <w:pPr>
        <w:pStyle w:val="Heading1"/>
      </w:pPr>
      <w:r>
        <w:rPr>
          <w:color w:val="1F497D"/>
          <w:sz w:val="26"/>
        </w:rPr>
        <w:t>2. Statistical Background</w:t>
      </w:r>
    </w:p>
    <w:p>
      <w:pPr>
        <w:pStyle w:val="Heading2"/>
      </w:pPr>
      <w:r>
        <w:rPr>
          <w:color w:val="2E74B5"/>
          <w:sz w:val="22"/>
        </w:rPr>
        <w:t>2.1 Johnson SU Distribution</w:t>
      </w:r>
    </w:p>
    <w:p>
      <w:pPr>
        <w:spacing w:after="80"/>
      </w:pPr>
      <w:r>
        <w:t>The JSU family is defined by z = a + b sinh⁻¹((x − ξ)/scale), z ~ N(0,1). Shape parameters a (skewness-related) and b (kurtosis-related, b &gt; 0) are estimated by maximum likelihood. When the true distribution is close to symmetric, many (a, b) pairs fit equally well, and small perturbations in the data cause the optimiser to jump between equivalent solutions — the artefact demonstrated in Section 4.</w:t>
      </w:r>
    </w:p>
    <w:p>
      <w:pPr>
        <w:pStyle w:val="Heading2"/>
      </w:pPr>
      <w:r>
        <w:rPr>
          <w:color w:val="2E74B5"/>
          <w:sz w:val="22"/>
        </w:rPr>
        <w:t>2.2 Box-Cox Power Transform</w:t>
      </w:r>
    </w:p>
    <w:p>
      <w:pPr>
        <w:spacing w:after="80"/>
      </w:pPr>
      <w:r>
        <w:t>The Box-Cox transform: y(λ) = (xᵅ − 1)/λ for λ ≠ 0, y(0) = log(x). The parameter λ is estimated by maximising the profile log-likelihood of y ~ N(μ, σ²). The likelihood surface is smooth and unimodal for N ≳ 100.</w:t>
      </w:r>
    </w:p>
    <w:p>
      <w:pPr>
        <w:spacing w:after="80"/>
      </w:pPr>
      <w:r>
        <w:t>Physical interpretation for galaxy colour distributions:</w:t>
      </w:r>
    </w:p>
    <w:p>
      <w:pPr>
        <w:spacing w:after="80"/>
      </w:pPr>
      <w:r>
        <w:t xml:space="preserve">    λ ≈ 1  →  approximately Normal; additive scatter</w:t>
      </w:r>
    </w:p>
    <w:p>
      <w:pPr>
        <w:spacing w:after="80"/>
      </w:pPr>
      <w:r>
        <w:t xml:space="preserve">    λ → 0  →  log-Normal; multiplicative scatter</w:t>
      </w:r>
    </w:p>
    <w:p>
      <w:pPr>
        <w:spacing w:after="80"/>
      </w:pPr>
      <w:r>
        <w:t xml:space="preserve">    λ &lt; 0  →  left tail suppressed; one-way absorbing boundary (e.g. red sequence)</w:t>
      </w:r>
    </w:p>
    <w:p>
      <w:pPr>
        <w:pStyle w:val="Heading2"/>
      </w:pPr>
      <w:r>
        <w:rPr>
          <w:color w:val="2E74B5"/>
          <w:sz w:val="22"/>
        </w:rPr>
        <w:t>2.3 Bootstrap Null Test</w:t>
      </w:r>
    </w:p>
    <w:p>
      <w:pPr>
        <w:spacing w:after="80"/>
      </w:pPr>
      <w:r>
        <w:t>To distinguish physical evolution from sampling noise: 500 subsamples of the same size as each redshift bin are drawn with replacement from the full galaxy pool (ignoring redshift), λ is fitted to each, and 2.5th–97.5th percentiles form the 95% null envelope. Monotonic trend is assessed with Spearman r and Kendall τ.</w:t>
      </w:r>
    </w:p>
    <w:p/>
    <w:p>
      <w:pPr>
        <w:pStyle w:val="Heading1"/>
      </w:pPr>
      <w:r>
        <w:rPr>
          <w:color w:val="1F497D"/>
          <w:sz w:val="26"/>
        </w:rPr>
        <w:t>3. Data</w:t>
      </w:r>
    </w:p>
    <w:p>
      <w:pPr>
        <w:spacing w:after="80"/>
      </w:pPr>
      <w:r>
        <w:t>GAMA DR4 StellarMassesLambdarv24, with quality cuts 0.5 &lt; u−r &lt; 4.0, log M* &gt; 8.0, 0.002 &lt; z &lt; 0.35: 165,488 galaxies in seven bins (Δz = 0.05; N = 3,900–34,000). GAMA is &gt;98% spectroscopically complete to r &lt; 19.8, minimising redshift-bin blurring.</w:t>
      </w:r>
    </w:p>
    <w:p/>
    <w:p>
      <w:pPr>
        <w:pStyle w:val="Heading1"/>
      </w:pPr>
      <w:r>
        <w:rPr>
          <w:color w:val="1F497D"/>
          <w:sz w:val="26"/>
        </w:rPr>
        <w:t>4. Results</w:t>
      </w:r>
    </w:p>
    <w:p>
      <w:pPr>
        <w:pStyle w:val="Heading2"/>
      </w:pPr>
      <w:r>
        <w:rPr>
          <w:color w:val="2E74B5"/>
          <w:sz w:val="22"/>
        </w:rPr>
        <w:t>4.1 JSU Instability Demonstrated</w:t>
      </w:r>
    </w:p>
    <w:p>
      <w:pPr>
        <w:spacing w:after="80"/>
      </w:pPr>
      <w:r>
        <w:t>Table 1 shows all shape parameters by redshift bin. Skewness decreases smoothly from +0.90 to −0.82. Box-Cox λ increases smoothly from −0.20 to +2.70. JSU parameter a, however, jumps from −2.76 to −11.68 to +20.68 across the first three bins — a factor of 30 variation while skewness changes by only 0.75. This is not physical: it reflects the flat likelihood ridge in (a, b) space. Figure 1 shows the contrast directly.</w:t>
      </w:r>
    </w:p>
    <w:p>
      <w:pPr>
        <w:spacing w:after="40"/>
      </w:pPr>
      <w:r>
        <w:rPr>
          <w:b/>
          <w:color w:val="1F497D"/>
          <w:sz w:val="20"/>
        </w:rPr>
        <w:t>Table 1. Shape parameters by redshift bin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134"/>
            <w:shd w:val="clear" w:color="auto" w:fill="1F497D"/>
          </w:tcPr>
          <w:p>
            <w:pPr>
              <w:spacing w:after="0"/>
            </w:pPr>
            <w:r>
              <w:rPr>
                <w:b/>
                <w:color w:val="FFFFFF"/>
                <w:sz w:val="18"/>
              </w:rPr>
              <w:t>z centre</w:t>
            </w:r>
          </w:p>
        </w:tc>
        <w:tc>
          <w:tcPr>
            <w:tcW w:type="dxa" w:w="1134"/>
            <w:shd w:val="clear" w:color="auto" w:fill="1F497D"/>
          </w:tcPr>
          <w:p>
            <w:pPr>
              <w:spacing w:after="0"/>
            </w:pPr>
            <w:r>
              <w:rPr>
                <w:b/>
                <w:color w:val="FFFFFF"/>
                <w:sz w:val="18"/>
              </w:rPr>
              <w:t>N</w:t>
            </w:r>
          </w:p>
        </w:tc>
        <w:tc>
          <w:tcPr>
            <w:tcW w:type="dxa" w:w="1020"/>
            <w:shd w:val="clear" w:color="auto" w:fill="1F497D"/>
          </w:tcPr>
          <w:p>
            <w:pPr>
              <w:spacing w:after="0"/>
            </w:pPr>
            <w:r>
              <w:rPr>
                <w:b/>
                <w:color w:val="FFFFFF"/>
                <w:sz w:val="18"/>
              </w:rPr>
              <w:t>JSU  a</w:t>
            </w:r>
          </w:p>
        </w:tc>
        <w:tc>
          <w:tcPr>
            <w:tcW w:type="dxa" w:w="1020"/>
            <w:shd w:val="clear" w:color="auto" w:fill="1F497D"/>
          </w:tcPr>
          <w:p>
            <w:pPr>
              <w:spacing w:after="0"/>
            </w:pPr>
            <w:r>
              <w:rPr>
                <w:b/>
                <w:color w:val="FFFFFF"/>
                <w:sz w:val="18"/>
              </w:rPr>
              <w:t>JSU  b</w:t>
            </w:r>
          </w:p>
        </w:tc>
        <w:tc>
          <w:tcPr>
            <w:tcW w:type="dxa" w:w="1134"/>
            <w:shd w:val="clear" w:color="auto" w:fill="1F497D"/>
          </w:tcPr>
          <w:p>
            <w:pPr>
              <w:spacing w:after="0"/>
            </w:pPr>
            <w:r>
              <w:rPr>
                <w:b/>
                <w:color w:val="FFFFFF"/>
                <w:sz w:val="18"/>
              </w:rPr>
              <w:t>Box-Cox λ</w:t>
            </w:r>
          </w:p>
        </w:tc>
        <w:tc>
          <w:tcPr>
            <w:tcW w:type="dxa" w:w="1134"/>
            <w:shd w:val="clear" w:color="auto" w:fill="1F497D"/>
          </w:tcPr>
          <w:p>
            <w:pPr>
              <w:spacing w:after="0"/>
            </w:pPr>
            <w:r>
              <w:rPr>
                <w:b/>
                <w:color w:val="FFFFFF"/>
                <w:sz w:val="18"/>
              </w:rPr>
              <w:t>Skewness</w:t>
            </w:r>
          </w:p>
        </w:tc>
        <w:tc>
          <w:tcPr>
            <w:tcW w:type="dxa" w:w="907"/>
            <w:shd w:val="clear" w:color="auto" w:fill="1F497D"/>
          </w:tcPr>
          <w:p>
            <w:pPr>
              <w:spacing w:after="0"/>
            </w:pPr>
            <w:r>
              <w:rPr>
                <w:b/>
                <w:color w:val="FFFFFF"/>
                <w:sz w:val="18"/>
              </w:rPr>
              <w:t>Kurt</w:t>
            </w:r>
          </w:p>
        </w:tc>
      </w:tr>
      <w:tr>
        <w:tc>
          <w:tcPr>
            <w:tcW w:type="dxa" w:w="1134"/>
            <w:shd w:val="clear" w:color="auto" w:fill="EBF3FA"/>
          </w:tcPr>
          <w:p>
            <w:pPr>
              <w:spacing w:after="0"/>
            </w:pPr>
            <w:r>
              <w:rPr>
                <w:sz w:val="18"/>
              </w:rPr>
              <w:t>0.026</w:t>
            </w:r>
          </w:p>
        </w:tc>
        <w:tc>
          <w:tcPr>
            <w:tcW w:type="dxa" w:w="1134"/>
            <w:shd w:val="clear" w:color="auto" w:fill="EBF3FA"/>
          </w:tcPr>
          <w:p>
            <w:pPr>
              <w:spacing w:after="0"/>
            </w:pPr>
            <w:r>
              <w:rPr>
                <w:sz w:val="18"/>
              </w:rPr>
              <w:t>3,932</w:t>
            </w:r>
          </w:p>
        </w:tc>
        <w:tc>
          <w:tcPr>
            <w:tcW w:type="dxa" w:w="1020"/>
            <w:shd w:val="clear" w:color="auto" w:fill="EBF3FA"/>
          </w:tcPr>
          <w:p>
            <w:pPr>
              <w:spacing w:after="0"/>
            </w:pPr>
            <w:r>
              <w:rPr>
                <w:sz w:val="18"/>
              </w:rPr>
              <w:t>−2.763</w:t>
            </w:r>
          </w:p>
        </w:tc>
        <w:tc>
          <w:tcPr>
            <w:tcW w:type="dxa" w:w="1020"/>
            <w:shd w:val="clear" w:color="auto" w:fill="EBF3FA"/>
          </w:tcPr>
          <w:p>
            <w:pPr>
              <w:spacing w:after="0"/>
            </w:pPr>
            <w:r>
              <w:rPr>
                <w:sz w:val="18"/>
              </w:rPr>
              <w:t>+2.210</w:t>
            </w:r>
          </w:p>
        </w:tc>
        <w:tc>
          <w:tcPr>
            <w:tcW w:type="dxa" w:w="1134"/>
            <w:shd w:val="clear" w:color="auto" w:fill="EBF3FA"/>
          </w:tcPr>
          <w:p>
            <w:pPr>
              <w:spacing w:after="0"/>
            </w:pPr>
            <w:r>
              <w:rPr>
                <w:sz w:val="18"/>
              </w:rPr>
              <w:t>−0.200</w:t>
            </w:r>
          </w:p>
        </w:tc>
        <w:tc>
          <w:tcPr>
            <w:tcW w:type="dxa" w:w="1134"/>
            <w:shd w:val="clear" w:color="auto" w:fill="EBF3FA"/>
          </w:tcPr>
          <w:p>
            <w:pPr>
              <w:spacing w:after="0"/>
            </w:pPr>
            <w:r>
              <w:rPr>
                <w:sz w:val="18"/>
              </w:rPr>
              <w:t>+0.899</w:t>
            </w:r>
          </w:p>
        </w:tc>
        <w:tc>
          <w:tcPr>
            <w:tcW w:type="dxa" w:w="907"/>
            <w:shd w:val="clear" w:color="auto" w:fill="EBF3FA"/>
          </w:tcPr>
          <w:p>
            <w:pPr>
              <w:spacing w:after="0"/>
            </w:pPr>
            <w:r>
              <w:rPr>
                <w:sz w:val="18"/>
              </w:rPr>
              <w:t>+0.824</w:t>
            </w:r>
          </w:p>
        </w:tc>
      </w:tr>
      <w:tr>
        <w:tc>
          <w:tcPr>
            <w:tcW w:type="dxa" w:w="1134"/>
            <w:shd w:val="clear" w:color="auto" w:fill="FFFFFF"/>
          </w:tcPr>
          <w:p>
            <w:pPr>
              <w:spacing w:after="0"/>
            </w:pPr>
            <w:r>
              <w:rPr>
                <w:sz w:val="18"/>
              </w:rPr>
              <w:t>0.075</w:t>
            </w:r>
          </w:p>
        </w:tc>
        <w:tc>
          <w:tcPr>
            <w:tcW w:type="dxa" w:w="1134"/>
            <w:shd w:val="clear" w:color="auto" w:fill="FFFFFF"/>
          </w:tcPr>
          <w:p>
            <w:pPr>
              <w:spacing w:after="0"/>
            </w:pPr>
            <w:r>
              <w:rPr>
                <w:sz w:val="18"/>
              </w:rPr>
              <w:t>16,579</w:t>
            </w:r>
          </w:p>
        </w:tc>
        <w:tc>
          <w:tcPr>
            <w:tcW w:type="dxa" w:w="1020"/>
            <w:shd w:val="clear" w:color="auto" w:fill="FFFFFF"/>
          </w:tcPr>
          <w:p>
            <w:pPr>
              <w:spacing w:after="0"/>
            </w:pPr>
            <w:r>
              <w:rPr>
                <w:sz w:val="18"/>
              </w:rPr>
              <w:t>−11.677</w:t>
            </w:r>
          </w:p>
        </w:tc>
        <w:tc>
          <w:tcPr>
            <w:tcW w:type="dxa" w:w="1020"/>
            <w:shd w:val="clear" w:color="auto" w:fill="FFFFFF"/>
          </w:tcPr>
          <w:p>
            <w:pPr>
              <w:spacing w:after="0"/>
            </w:pPr>
            <w:r>
              <w:rPr>
                <w:sz w:val="18"/>
              </w:rPr>
              <w:t>+5.925</w:t>
            </w:r>
          </w:p>
        </w:tc>
        <w:tc>
          <w:tcPr>
            <w:tcW w:type="dxa" w:w="1134"/>
            <w:shd w:val="clear" w:color="auto" w:fill="FFFFFF"/>
          </w:tcPr>
          <w:p>
            <w:pPr>
              <w:spacing w:after="0"/>
            </w:pPr>
            <w:r>
              <w:rPr>
                <w:sz w:val="18"/>
              </w:rPr>
              <w:t>+0.431</w:t>
            </w:r>
          </w:p>
        </w:tc>
        <w:tc>
          <w:tcPr>
            <w:tcW w:type="dxa" w:w="1134"/>
            <w:shd w:val="clear" w:color="auto" w:fill="FFFFFF"/>
          </w:tcPr>
          <w:p>
            <w:pPr>
              <w:spacing w:after="0"/>
            </w:pPr>
            <w:r>
              <w:rPr>
                <w:sz w:val="18"/>
              </w:rPr>
              <w:t>+0.263</w:t>
            </w:r>
          </w:p>
        </w:tc>
        <w:tc>
          <w:tcPr>
            <w:tcW w:type="dxa" w:w="907"/>
            <w:shd w:val="clear" w:color="auto" w:fill="FFFFFF"/>
          </w:tcPr>
          <w:p>
            <w:pPr>
              <w:spacing w:after="0"/>
            </w:pPr>
            <w:r>
              <w:rPr>
                <w:sz w:val="18"/>
              </w:rPr>
              <w:t>−0.750</w:t>
            </w:r>
          </w:p>
        </w:tc>
      </w:tr>
      <w:tr>
        <w:tc>
          <w:tcPr>
            <w:tcW w:type="dxa" w:w="1134"/>
            <w:shd w:val="clear" w:color="auto" w:fill="EBF3FA"/>
          </w:tcPr>
          <w:p>
            <w:pPr>
              <w:spacing w:after="0"/>
            </w:pPr>
            <w:r>
              <w:rPr>
                <w:sz w:val="18"/>
              </w:rPr>
              <w:t>0.125</w:t>
            </w:r>
          </w:p>
        </w:tc>
        <w:tc>
          <w:tcPr>
            <w:tcW w:type="dxa" w:w="1134"/>
            <w:shd w:val="clear" w:color="auto" w:fill="EBF3FA"/>
          </w:tcPr>
          <w:p>
            <w:pPr>
              <w:spacing w:after="0"/>
            </w:pPr>
            <w:r>
              <w:rPr>
                <w:sz w:val="18"/>
              </w:rPr>
              <w:t>29,589</w:t>
            </w:r>
          </w:p>
        </w:tc>
        <w:tc>
          <w:tcPr>
            <w:tcW w:type="dxa" w:w="1020"/>
            <w:shd w:val="clear" w:color="auto" w:fill="EBF3FA"/>
          </w:tcPr>
          <w:p>
            <w:pPr>
              <w:spacing w:after="0"/>
            </w:pPr>
            <w:r>
              <w:rPr>
                <w:sz w:val="18"/>
              </w:rPr>
              <w:t>+20.679</w:t>
            </w:r>
          </w:p>
        </w:tc>
        <w:tc>
          <w:tcPr>
            <w:tcW w:type="dxa" w:w="1020"/>
            <w:shd w:val="clear" w:color="auto" w:fill="EBF3FA"/>
          </w:tcPr>
          <w:p>
            <w:pPr>
              <w:spacing w:after="0"/>
            </w:pPr>
            <w:r>
              <w:rPr>
                <w:sz w:val="18"/>
              </w:rPr>
              <w:t>+7.171</w:t>
            </w:r>
          </w:p>
        </w:tc>
        <w:tc>
          <w:tcPr>
            <w:tcW w:type="dxa" w:w="1134"/>
            <w:shd w:val="clear" w:color="auto" w:fill="EBF3FA"/>
          </w:tcPr>
          <w:p>
            <w:pPr>
              <w:spacing w:after="0"/>
            </w:pPr>
            <w:r>
              <w:rPr>
                <w:sz w:val="18"/>
              </w:rPr>
              <w:t>+1.125</w:t>
            </w:r>
          </w:p>
        </w:tc>
        <w:tc>
          <w:tcPr>
            <w:tcW w:type="dxa" w:w="1134"/>
            <w:shd w:val="clear" w:color="auto" w:fill="EBF3FA"/>
          </w:tcPr>
          <w:p>
            <w:pPr>
              <w:spacing w:after="0"/>
            </w:pPr>
            <w:r>
              <w:rPr>
                <w:sz w:val="18"/>
              </w:rPr>
              <w:t>−0.148</w:t>
            </w:r>
          </w:p>
        </w:tc>
        <w:tc>
          <w:tcPr>
            <w:tcW w:type="dxa" w:w="907"/>
            <w:shd w:val="clear" w:color="auto" w:fill="EBF3FA"/>
          </w:tcPr>
          <w:p>
            <w:pPr>
              <w:spacing w:after="0"/>
            </w:pPr>
            <w:r>
              <w:rPr>
                <w:sz w:val="18"/>
              </w:rPr>
              <w:t>−1.046</w:t>
            </w:r>
          </w:p>
        </w:tc>
      </w:tr>
      <w:tr>
        <w:tc>
          <w:tcPr>
            <w:tcW w:type="dxa" w:w="1134"/>
            <w:shd w:val="clear" w:color="auto" w:fill="FFFFFF"/>
          </w:tcPr>
          <w:p>
            <w:pPr>
              <w:spacing w:after="0"/>
            </w:pPr>
            <w:r>
              <w:rPr>
                <w:sz w:val="18"/>
              </w:rPr>
              <w:t>0.175</w:t>
            </w:r>
          </w:p>
        </w:tc>
        <w:tc>
          <w:tcPr>
            <w:tcW w:type="dxa" w:w="1134"/>
            <w:shd w:val="clear" w:color="auto" w:fill="FFFFFF"/>
          </w:tcPr>
          <w:p>
            <w:pPr>
              <w:spacing w:after="0"/>
            </w:pPr>
            <w:r>
              <w:rPr>
                <w:sz w:val="18"/>
              </w:rPr>
              <w:t>32,999</w:t>
            </w:r>
          </w:p>
        </w:tc>
        <w:tc>
          <w:tcPr>
            <w:tcW w:type="dxa" w:w="1020"/>
            <w:shd w:val="clear" w:color="auto" w:fill="FFFFFF"/>
          </w:tcPr>
          <w:p>
            <w:pPr>
              <w:spacing w:after="0"/>
            </w:pPr>
            <w:r>
              <w:rPr>
                <w:sz w:val="18"/>
              </w:rPr>
              <w:t>+9.776</w:t>
            </w:r>
          </w:p>
        </w:tc>
        <w:tc>
          <w:tcPr>
            <w:tcW w:type="dxa" w:w="1020"/>
            <w:shd w:val="clear" w:color="auto" w:fill="FFFFFF"/>
          </w:tcPr>
          <w:p>
            <w:pPr>
              <w:spacing w:after="0"/>
            </w:pPr>
            <w:r>
              <w:rPr>
                <w:sz w:val="18"/>
              </w:rPr>
              <w:t>+3.566</w:t>
            </w:r>
          </w:p>
        </w:tc>
        <w:tc>
          <w:tcPr>
            <w:tcW w:type="dxa" w:w="1134"/>
            <w:shd w:val="clear" w:color="auto" w:fill="FFFFFF"/>
          </w:tcPr>
          <w:p>
            <w:pPr>
              <w:spacing w:after="0"/>
            </w:pPr>
            <w:r>
              <w:rPr>
                <w:sz w:val="18"/>
              </w:rPr>
              <w:t>+1.694</w:t>
            </w:r>
          </w:p>
        </w:tc>
        <w:tc>
          <w:tcPr>
            <w:tcW w:type="dxa" w:w="1134"/>
            <w:shd w:val="clear" w:color="auto" w:fill="FFFFFF"/>
          </w:tcPr>
          <w:p>
            <w:pPr>
              <w:spacing w:after="0"/>
            </w:pPr>
            <w:r>
              <w:rPr>
                <w:sz w:val="18"/>
              </w:rPr>
              <w:t>−0.387</w:t>
            </w:r>
          </w:p>
        </w:tc>
        <w:tc>
          <w:tcPr>
            <w:tcW w:type="dxa" w:w="907"/>
            <w:shd w:val="clear" w:color="auto" w:fill="FFFFFF"/>
          </w:tcPr>
          <w:p>
            <w:pPr>
              <w:spacing w:after="0"/>
            </w:pPr>
            <w:r>
              <w:rPr>
                <w:sz w:val="18"/>
              </w:rPr>
              <w:t>−0.897</w:t>
            </w:r>
          </w:p>
        </w:tc>
      </w:tr>
      <w:tr>
        <w:tc>
          <w:tcPr>
            <w:tcW w:type="dxa" w:w="1134"/>
            <w:shd w:val="clear" w:color="auto" w:fill="EBF3FA"/>
          </w:tcPr>
          <w:p>
            <w:pPr>
              <w:spacing w:after="0"/>
            </w:pPr>
            <w:r>
              <w:rPr>
                <w:sz w:val="18"/>
              </w:rPr>
              <w:t>0.225</w:t>
            </w:r>
          </w:p>
        </w:tc>
        <w:tc>
          <w:tcPr>
            <w:tcW w:type="dxa" w:w="1134"/>
            <w:shd w:val="clear" w:color="auto" w:fill="EBF3FA"/>
          </w:tcPr>
          <w:p>
            <w:pPr>
              <w:spacing w:after="0"/>
            </w:pPr>
            <w:r>
              <w:rPr>
                <w:sz w:val="18"/>
              </w:rPr>
              <w:t>27,116</w:t>
            </w:r>
          </w:p>
        </w:tc>
        <w:tc>
          <w:tcPr>
            <w:tcW w:type="dxa" w:w="1020"/>
            <w:shd w:val="clear" w:color="auto" w:fill="EBF3FA"/>
          </w:tcPr>
          <w:p>
            <w:pPr>
              <w:spacing w:after="0"/>
            </w:pPr>
            <w:r>
              <w:rPr>
                <w:sz w:val="18"/>
              </w:rPr>
              <w:t>+3.431</w:t>
            </w:r>
          </w:p>
        </w:tc>
        <w:tc>
          <w:tcPr>
            <w:tcW w:type="dxa" w:w="1020"/>
            <w:shd w:val="clear" w:color="auto" w:fill="EBF3FA"/>
          </w:tcPr>
          <w:p>
            <w:pPr>
              <w:spacing w:after="0"/>
            </w:pPr>
            <w:r>
              <w:rPr>
                <w:sz w:val="18"/>
              </w:rPr>
              <w:t>+2.112</w:t>
            </w:r>
          </w:p>
        </w:tc>
        <w:tc>
          <w:tcPr>
            <w:tcW w:type="dxa" w:w="1134"/>
            <w:shd w:val="clear" w:color="auto" w:fill="EBF3FA"/>
          </w:tcPr>
          <w:p>
            <w:pPr>
              <w:spacing w:after="0"/>
            </w:pPr>
            <w:r>
              <w:rPr>
                <w:sz w:val="18"/>
              </w:rPr>
              <w:t>+1.995</w:t>
            </w:r>
          </w:p>
        </w:tc>
        <w:tc>
          <w:tcPr>
            <w:tcW w:type="dxa" w:w="1134"/>
            <w:shd w:val="clear" w:color="auto" w:fill="EBF3FA"/>
          </w:tcPr>
          <w:p>
            <w:pPr>
              <w:spacing w:after="0"/>
            </w:pPr>
            <w:r>
              <w:rPr>
                <w:sz w:val="18"/>
              </w:rPr>
              <w:t>−0.523</w:t>
            </w:r>
          </w:p>
        </w:tc>
        <w:tc>
          <w:tcPr>
            <w:tcW w:type="dxa" w:w="907"/>
            <w:shd w:val="clear" w:color="auto" w:fill="EBF3FA"/>
          </w:tcPr>
          <w:p>
            <w:pPr>
              <w:spacing w:after="0"/>
            </w:pPr>
            <w:r>
              <w:rPr>
                <w:sz w:val="18"/>
              </w:rPr>
              <w:t>−0.623</w:t>
            </w:r>
          </w:p>
        </w:tc>
      </w:tr>
      <w:tr>
        <w:tc>
          <w:tcPr>
            <w:tcW w:type="dxa" w:w="1134"/>
            <w:shd w:val="clear" w:color="auto" w:fill="FFFFFF"/>
          </w:tcPr>
          <w:p>
            <w:pPr>
              <w:spacing w:after="0"/>
            </w:pPr>
            <w:r>
              <w:rPr>
                <w:sz w:val="18"/>
              </w:rPr>
              <w:t>0.275</w:t>
            </w:r>
          </w:p>
        </w:tc>
        <w:tc>
          <w:tcPr>
            <w:tcW w:type="dxa" w:w="1134"/>
            <w:shd w:val="clear" w:color="auto" w:fill="FFFFFF"/>
          </w:tcPr>
          <w:p>
            <w:pPr>
              <w:spacing w:after="0"/>
            </w:pPr>
            <w:r>
              <w:rPr>
                <w:sz w:val="18"/>
              </w:rPr>
              <w:t>33,685</w:t>
            </w:r>
          </w:p>
        </w:tc>
        <w:tc>
          <w:tcPr>
            <w:tcW w:type="dxa" w:w="1020"/>
            <w:shd w:val="clear" w:color="auto" w:fill="FFFFFF"/>
          </w:tcPr>
          <w:p>
            <w:pPr>
              <w:spacing w:after="0"/>
            </w:pPr>
            <w:r>
              <w:rPr>
                <w:sz w:val="18"/>
              </w:rPr>
              <w:t>+2.802</w:t>
            </w:r>
          </w:p>
        </w:tc>
        <w:tc>
          <w:tcPr>
            <w:tcW w:type="dxa" w:w="1020"/>
            <w:shd w:val="clear" w:color="auto" w:fill="FFFFFF"/>
          </w:tcPr>
          <w:p>
            <w:pPr>
              <w:spacing w:after="0"/>
            </w:pPr>
            <w:r>
              <w:rPr>
                <w:sz w:val="18"/>
              </w:rPr>
              <w:t>+1.752</w:t>
            </w:r>
          </w:p>
        </w:tc>
        <w:tc>
          <w:tcPr>
            <w:tcW w:type="dxa" w:w="1134"/>
            <w:shd w:val="clear" w:color="auto" w:fill="FFFFFF"/>
          </w:tcPr>
          <w:p>
            <w:pPr>
              <w:spacing w:after="0"/>
            </w:pPr>
            <w:r>
              <w:rPr>
                <w:sz w:val="18"/>
              </w:rPr>
              <w:t>+2.532</w:t>
            </w:r>
          </w:p>
        </w:tc>
        <w:tc>
          <w:tcPr>
            <w:tcW w:type="dxa" w:w="1134"/>
            <w:shd w:val="clear" w:color="auto" w:fill="FFFFFF"/>
          </w:tcPr>
          <w:p>
            <w:pPr>
              <w:spacing w:after="0"/>
            </w:pPr>
            <w:r>
              <w:rPr>
                <w:sz w:val="18"/>
              </w:rPr>
              <w:t>−0.745</w:t>
            </w:r>
          </w:p>
        </w:tc>
        <w:tc>
          <w:tcPr>
            <w:tcW w:type="dxa" w:w="907"/>
            <w:shd w:val="clear" w:color="auto" w:fill="FFFFFF"/>
          </w:tcPr>
          <w:p>
            <w:pPr>
              <w:spacing w:after="0"/>
            </w:pPr>
            <w:r>
              <w:rPr>
                <w:sz w:val="18"/>
              </w:rPr>
              <w:t>−0.188</w:t>
            </w:r>
          </w:p>
        </w:tc>
      </w:tr>
      <w:tr>
        <w:tc>
          <w:tcPr>
            <w:tcW w:type="dxa" w:w="1134"/>
            <w:shd w:val="clear" w:color="auto" w:fill="EBF3FA"/>
          </w:tcPr>
          <w:p>
            <w:pPr>
              <w:spacing w:after="0"/>
            </w:pPr>
            <w:r>
              <w:rPr>
                <w:sz w:val="18"/>
              </w:rPr>
              <w:t>0.325</w:t>
            </w:r>
          </w:p>
        </w:tc>
        <w:tc>
          <w:tcPr>
            <w:tcW w:type="dxa" w:w="1134"/>
            <w:shd w:val="clear" w:color="auto" w:fill="EBF3FA"/>
          </w:tcPr>
          <w:p>
            <w:pPr>
              <w:spacing w:after="0"/>
            </w:pPr>
            <w:r>
              <w:rPr>
                <w:sz w:val="18"/>
              </w:rPr>
              <w:t>21,588</w:t>
            </w:r>
          </w:p>
        </w:tc>
        <w:tc>
          <w:tcPr>
            <w:tcW w:type="dxa" w:w="1020"/>
            <w:shd w:val="clear" w:color="auto" w:fill="EBF3FA"/>
          </w:tcPr>
          <w:p>
            <w:pPr>
              <w:spacing w:after="0"/>
            </w:pPr>
            <w:r>
              <w:rPr>
                <w:sz w:val="18"/>
              </w:rPr>
              <w:t>+2.836</w:t>
            </w:r>
          </w:p>
        </w:tc>
        <w:tc>
          <w:tcPr>
            <w:tcW w:type="dxa" w:w="1020"/>
            <w:shd w:val="clear" w:color="auto" w:fill="EBF3FA"/>
          </w:tcPr>
          <w:p>
            <w:pPr>
              <w:spacing w:after="0"/>
            </w:pPr>
            <w:r>
              <w:rPr>
                <w:sz w:val="18"/>
              </w:rPr>
              <w:t>+1.802</w:t>
            </w:r>
          </w:p>
        </w:tc>
        <w:tc>
          <w:tcPr>
            <w:tcW w:type="dxa" w:w="1134"/>
            <w:shd w:val="clear" w:color="auto" w:fill="EBF3FA"/>
          </w:tcPr>
          <w:p>
            <w:pPr>
              <w:spacing w:after="0"/>
            </w:pPr>
            <w:r>
              <w:rPr>
                <w:sz w:val="18"/>
              </w:rPr>
              <w:t>+2.701</w:t>
            </w:r>
          </w:p>
        </w:tc>
        <w:tc>
          <w:tcPr>
            <w:tcW w:type="dxa" w:w="1134"/>
            <w:shd w:val="clear" w:color="auto" w:fill="EBF3FA"/>
          </w:tcPr>
          <w:p>
            <w:pPr>
              <w:spacing w:after="0"/>
            </w:pPr>
            <w:r>
              <w:rPr>
                <w:sz w:val="18"/>
              </w:rPr>
              <w:t>−0.821</w:t>
            </w:r>
          </w:p>
        </w:tc>
        <w:tc>
          <w:tcPr>
            <w:tcW w:type="dxa" w:w="907"/>
            <w:shd w:val="clear" w:color="auto" w:fill="EBF3FA"/>
          </w:tcPr>
          <w:p>
            <w:pPr>
              <w:spacing w:after="0"/>
            </w:pPr>
            <w:r>
              <w:rPr>
                <w:sz w:val="18"/>
              </w:rPr>
              <w:t>+0.069</w:t>
            </w:r>
          </w:p>
        </w:tc>
      </w:tr>
    </w:tbl>
    <w:p>
      <w:pPr>
        <w:spacing w:after="120" w:before="40"/>
      </w:pPr>
      <w:r>
        <w:rPr>
          <w:i/>
          <w:color w:val="606060"/>
          <w:sz w:val="17"/>
        </w:rPr>
        <w:t>JSU a: Spearman r = +0.29, p = 0.53 (not significant). Box-Cox λ and skewness are monotonic (|r| = 1.00, p &lt; 0.001); JSU a is non-monotonic despite the same underlying distributional change.</w:t>
      </w:r>
    </w:p>
    <w:p>
      <w:pPr>
        <w:spacing w:after="80"/>
      </w:pPr>
    </w:p>
    <w:p>
      <w:pPr>
        <w:spacing w:after="40"/>
        <w:ind w:left="432"/>
      </w:pPr>
      <w:r>
        <w:rPr>
          <w:i/>
          <w:color w:val="606060"/>
          <w:sz w:val="19"/>
        </w:rPr>
        <w:t>[Insert Figure 1: Fig1_JSU_vs_BoxCox_Instability.png — 3 panels: JSU a, λ, skewness vs z]</w:t>
      </w:r>
    </w:p>
    <w:p>
      <w:pPr>
        <w:pStyle w:val="Heading2"/>
      </w:pPr>
      <w:r>
        <w:rPr>
          <w:color w:val="2E74B5"/>
          <w:sz w:val="22"/>
        </w:rPr>
        <w:t>4.2 Box-Cox λ Tracks Physical Evolution</w:t>
      </w:r>
    </w:p>
    <w:p>
      <w:pPr>
        <w:spacing w:after="80"/>
      </w:pPr>
      <w:r>
        <w:t>Figure 2 shows λ and skewness vs redshift with 95% bootstrap null envelopes. Both lie outside the null at every bin. Spearman r = +1.000 (p = 4.0×10⁻⁴) for λ; −1.000 (p = 4.0×10⁻⁴) for skewness. The transition through λ = 0 near z ≈ 0.08 may mark the epoch at which the red sequence first becomes the dominant population — a testable prediction.</w:t>
      </w:r>
    </w:p>
    <w:p>
      <w:pPr>
        <w:spacing w:after="40"/>
        <w:ind w:left="432"/>
      </w:pPr>
      <w:r>
        <w:rPr>
          <w:i/>
          <w:color w:val="606060"/>
          <w:sz w:val="19"/>
        </w:rPr>
        <w:t>[Insert Figure 2: Fig2_Shape_vs_Redshift.png — 2-panel λ and skewness vs z with null]</w:t>
      </w:r>
    </w:p>
    <w:p/>
    <w:p>
      <w:pPr>
        <w:pStyle w:val="Heading1"/>
      </w:pPr>
      <w:r>
        <w:rPr>
          <w:color w:val="1F497D"/>
          <w:sz w:val="26"/>
        </w:rPr>
        <w:t>5. Discussion</w:t>
      </w:r>
    </w:p>
    <w:p>
      <w:pPr>
        <w:pStyle w:val="Heading2"/>
      </w:pPr>
      <w:r>
        <w:rPr>
          <w:color w:val="2E74B5"/>
          <w:sz w:val="22"/>
        </w:rPr>
        <w:t>5.1 When to Use Box-Cox λ vs JSU</w:t>
      </w:r>
    </w:p>
    <w:p>
      <w:pPr>
        <w:spacing w:after="80"/>
      </w:pPr>
      <w:r>
        <w:t>JSU remains useful when a closed-form PDF is required (e.g. generating synthetic realisations or computing tail probabilities analytically). For tracking distributional evolution with a scalar statistic across redshift bins, Box-Cox λ is preferable: single-parameter, well-conditioned likelihood, and physically interpretable. Skewness is equally stable but lacks the physical transform interpretation.</w:t>
      </w:r>
    </w:p>
    <w:p>
      <w:pPr>
        <w:pStyle w:val="Heading2"/>
      </w:pPr>
      <w:r>
        <w:rPr>
          <w:color w:val="2E74B5"/>
          <w:sz w:val="22"/>
        </w:rPr>
        <w:t>5.2 Generalisability</w:t>
      </w:r>
    </w:p>
    <w:p>
      <w:pPr>
        <w:spacing w:after="80"/>
      </w:pPr>
      <w:r>
        <w:t>The argument applies to any redshift-binned analysis of unimodal-to-bimodal distributions: stellar mass functions, SFR distributions, metallicity. One limitation: Box-Cox requires positive data; distributions spanning zero (e.g. sSFR including quenched galaxies) require a shift parameter, introducing an assumption. In such cases skewness is the most assumption-free scalar.</w:t>
      </w:r>
    </w:p>
    <w:p/>
    <w:p>
      <w:pPr>
        <w:pStyle w:val="Heading1"/>
      </w:pPr>
      <w:r>
        <w:rPr>
          <w:color w:val="1F497D"/>
          <w:sz w:val="26"/>
        </w:rPr>
        <w:t>6. Conclusions</w:t>
      </w:r>
    </w:p>
    <w:p>
      <w:pPr>
        <w:spacing w:after="80"/>
      </w:pPr>
      <w:r>
        <w:t>1.  JSU parameters a and b show large non-monotonic variation across redshift bins due to correlation on a near-flat likelihood ridge, even when the underlying distribution evolves smoothly.</w:t>
      </w:r>
    </w:p>
    <w:p>
      <w:pPr>
        <w:spacing w:after="80"/>
      </w:pPr>
      <w:r>
        <w:t>2.  Box-Cox λ is a single, well-conditioned, physically interpretable shape statistic that tracks the same evolution without numerical instability.</w:t>
      </w:r>
    </w:p>
    <w:p>
      <w:pPr>
        <w:spacing w:after="80"/>
      </w:pPr>
      <w:r>
        <w:t>3.  Applied to 165,488 GAMA galaxies in seven bins, λ increases monotonically from −0.20 to +2.70 across z = 0.03–0.33 (Spearman r = 1.000, p &lt; 0.001), consistent with progressive consolidation of the red sequence.</w:t>
      </w:r>
    </w:p>
    <w:p>
      <w:pPr>
        <w:spacing w:after="80"/>
      </w:pPr>
      <w:r>
        <w:t>4.  Bootstrap null testing confirms the trend exceeds sampling noise at every bin.</w:t>
      </w:r>
    </w:p>
    <w:p>
      <w:pPr>
        <w:spacing w:after="80"/>
      </w:pPr>
      <w:r>
        <w:t>5.  We recommend Box-Cox λ as the default shape statistic for redshift-resolved distribution analysis when a numerically stable, physically interpretable scalar is required.</w:t>
      </w:r>
    </w:p>
    <w:p/>
    <w:p>
      <w:pPr>
        <w:pStyle w:val="Heading1"/>
      </w:pPr>
      <w:r>
        <w:rPr>
          <w:color w:val="1F497D"/>
          <w:sz w:val="26"/>
        </w:rPr>
        <w:t>Data and Code Availability</w:t>
      </w:r>
    </w:p>
    <w:p>
      <w:pPr>
        <w:spacing w:after="80"/>
      </w:pPr>
      <w:r>
        <w:t>GAMA DR4: https://www.gama-survey.org/dr4/. Python scripts (GenerateFigures.py) available on request / GitHub.</w:t>
      </w:r>
    </w:p>
    <w:p/>
    <w:p>
      <w:pPr>
        <w:spacing w:after="40"/>
        <w:ind w:left="432"/>
      </w:pPr>
      <w:r>
        <w:rPr>
          <w:i/>
          <w:color w:val="606060"/>
          <w:sz w:val="19"/>
        </w:rPr>
        <w:t>Estimated word count: ~1,600 words. Suitable for MNRAS regular article or A&amp;A Methods.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