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Halo Mass Mediates the Colour–Environment Relation in GAMA:</w:t>
        <w:br/>
        <w:t>Evidence from Partial Correlation and Distribution Shape Analysis</w:t>
      </w:r>
    </w:p>
    <w:p/>
    <w:p>
      <w:pPr>
        <w:jc w:val="center"/>
      </w:pPr>
      <w:r>
        <w:rPr>
          <w:b/>
        </w:rPr>
        <w:t>K. Sloan</w:t>
      </w:r>
      <w:r>
        <w:rPr>
          <w:i/>
        </w:rPr>
        <w:br/>
        <w:t>Independent Researcher — working draft for MNRAS Letters</w:t>
      </w:r>
    </w:p>
    <w:p/>
    <w:p>
      <w:pPr>
        <w:spacing w:after="40"/>
        <w:ind w:left="432"/>
      </w:pPr>
      <w:r>
        <w:rPr>
          <w:i/>
          <w:color w:val="606060"/>
          <w:sz w:val="20"/>
        </w:rPr>
        <w:t>Target: MNRAS Letters (~1,500 words + figures). Two headline results. Version 3 — JSU moved to Appendix.</w:t>
      </w:r>
    </w:p>
    <w:p/>
    <w:p>
      <w:pPr>
        <w:pStyle w:val="Heading1"/>
      </w:pPr>
      <w:r>
        <w:rPr>
          <w:color w:val="1F497D"/>
          <w:sz w:val="26"/>
        </w:rPr>
        <w:t>Abstract (~150 words)</w:t>
      </w:r>
    </w:p>
    <w:p>
      <w:pPr>
        <w:spacing w:after="80"/>
      </w:pPr>
      <w:r>
        <w:t>We investigate the relationship between galaxy colour (u−r) and local environment for galaxies in the GAMA DR4 survey, using partial correlation to control for group halo mass, and bootstrap null tests to assess physical evolution in the shape of the colour distribution with redshift. For elliptical galaxies (N = 1,270), raw correlations between u−r and all four environment metrics collapse to r ≈ 0 once group halo mass is controlled, demonstrating complete mediation. For the full galaxy population (N = 22,531), ∼50% of the signal survives halo control, indicating an independent morphology-linked pathway. The skewness and Box-Cox λ of the u−r distribution evolve monotonically with redshift (Spearman |r| = 1.00, p &lt; 0.001 for both): skewness shifts from +0.90 at z = 0.03 to −0.82 at z = 0.33, and λ from −0.20 to +2.70. Both trends exceed the bootstrap 95% null envelope at every redshift bin, confirming physical evolution in the colour distribution consistent with ongoing galaxy quenching.</w:t>
      </w:r>
    </w:p>
    <w:p/>
    <w:p>
      <w:pPr>
        <w:pStyle w:val="Heading1"/>
      </w:pPr>
      <w:r>
        <w:rPr>
          <w:color w:val="1F497D"/>
          <w:sz w:val="26"/>
        </w:rPr>
        <w:t>1. Introduction (~200 words)</w:t>
      </w:r>
    </w:p>
    <w:p>
      <w:pPr>
        <w:spacing w:after="80"/>
      </w:pPr>
      <w:r>
        <w:t>The correlation between galaxy colour and local environment — red galaxies preferentially inhabiting denser regions — is among the most robust observational results in galaxy evolution (Dressler 1980; Blanton &amp; Moustakas 2009). The outstanding question is mechanistic: does environment directly drive quenching, or is the signal primarily a reflection of halo mass, which correlates with both environment and the efficiency of quenching processes such as ram-pressure stripping and strangulation?</w:t>
      </w:r>
    </w:p>
    <w:p>
      <w:pPr>
        <w:spacing w:after="80"/>
      </w:pPr>
      <w:r>
        <w:t>A complementary question is whether the *shape* of the colour distribution encodes evolutionary information beyond the mean. If the u−r distribution transforms systematically with redshift in ways that exceed sampling noise, that transformation constrains the quenching timescale and mechanism independently of correlation analyses.</w:t>
      </w:r>
    </w:p>
    <w:p>
      <w:pPr>
        <w:spacing w:after="80"/>
      </w:pPr>
      <w:r>
        <w:t>We address both questions using GAMA DR4 (Driver et al. 2022), exploiting its group catalogue (Robotham et al. 2011) and environment measures (Brough et al. 2013). Our approach is deliberately model-independent: partial correlation makes no assumption about the functional form of the halo–colour relation, and the bootstrap null test makes no assumption about the expected distribution shape.</w:t>
      </w:r>
    </w:p>
    <w:p>
      <w:pPr>
        <w:spacing w:after="40"/>
        <w:ind w:left="432"/>
      </w:pPr>
      <w:r>
        <w:rPr>
          <w:i/>
          <w:color w:val="606060"/>
          <w:sz w:val="20"/>
        </w:rPr>
        <w:t>[~200 words. Add citations as Ivan suggests.]</w:t>
      </w:r>
    </w:p>
    <w:p/>
    <w:p>
      <w:pPr>
        <w:pStyle w:val="Heading1"/>
      </w:pPr>
      <w:r>
        <w:rPr>
          <w:color w:val="1F497D"/>
          <w:sz w:val="26"/>
        </w:rPr>
        <w:t>2. Data and Sample (~150 words)</w:t>
      </w:r>
    </w:p>
    <w:p>
      <w:pPr>
        <w:spacing w:after="80"/>
      </w:pPr>
      <w:r>
        <w:t>We use GAMA DR4 StellarMassesLambdarv24 (200,077 galaxies), applying quality cuts: 0.5 &lt; u−r &lt; 4.0, log M* &gt; 8.0, 0.002 &lt; z &lt; 0.35, giving 165,488 galaxies for the distribution shape analysis.</w:t>
      </w:r>
    </w:p>
    <w:p>
      <w:pPr>
        <w:spacing w:after="80"/>
      </w:pPr>
      <w:r>
        <w:t>For partial correlation we additionally require group membership (G3CGalv10), group halo mass proxy MassA (G3CFoFGroupv10), and environment measures (EnvironmentMeasuresv06: CountInCyl, DistanceTo5nn, SurfaceDensity, AGEDenPar). The elliptical subsample uses VisualMorphologyv03 (ELLIPTICAL_CODE = 1), yielding N = 1,270 with all joins satisfied. The full group population is N = 22,531.</w:t>
      </w:r>
    </w:p>
    <w:p>
      <w:pPr>
        <w:spacing w:after="40"/>
        <w:ind w:left="432"/>
      </w:pPr>
      <w:r>
        <w:rPr>
          <w:i/>
          <w:color w:val="606060"/>
          <w:sz w:val="20"/>
        </w:rPr>
        <w:t>[Cite GAMA DR4; group catalogue; environment catalogue.]</w:t>
      </w:r>
    </w:p>
    <w:p/>
    <w:p>
      <w:pPr>
        <w:pStyle w:val="Heading1"/>
      </w:pPr>
      <w:r>
        <w:rPr>
          <w:color w:val="1F497D"/>
          <w:sz w:val="26"/>
        </w:rPr>
        <w:t>3. Methods (~200 words)</w:t>
      </w:r>
    </w:p>
    <w:p>
      <w:pPr>
        <w:pStyle w:val="Heading2"/>
      </w:pPr>
      <w:r>
        <w:rPr>
          <w:color w:val="2E74B5"/>
          <w:sz w:val="22"/>
        </w:rPr>
        <w:t>3.1 Partial Correlation</w:t>
      </w:r>
    </w:p>
    <w:p>
      <w:pPr>
        <w:spacing w:after="80"/>
      </w:pPr>
      <w:r>
        <w:t>To isolate environment effects from halo mass, we residualise both u−r and each log-environment measure against log(MassA) via linear regression, then correlate residuals (Pearson and Spearman). This is equivalent to a partial correlation controlling for halo mass and requires no parametric model for the halo–colour relation. We report results at the individual galaxy level and at the group level (mean u−r and red fraction f_red, defined as the fraction with u−r &gt; 2.1).</w:t>
      </w:r>
    </w:p>
    <w:p>
      <w:pPr>
        <w:pStyle w:val="Heading2"/>
      </w:pPr>
      <w:r>
        <w:rPr>
          <w:color w:val="2E74B5"/>
          <w:sz w:val="22"/>
        </w:rPr>
        <w:t>3.2 Distribution Shape Evolution</w:t>
      </w:r>
    </w:p>
    <w:p>
      <w:pPr>
        <w:spacing w:after="80"/>
      </w:pPr>
      <w:r>
        <w:t>We divide the 165,488-galaxy sample into seven equal-width redshift bins (z = 0.002–0.35, Δz = 0.05; N per bin = 3,900–34,000). In each bin we compute skewness, excess kurtosis, and Box-Cox λ (the power that best normalises the distribution). Johnson SU parameters are computed for completeness and reported in Appendix A; they show numerical instability across bins (a consequence of correlation between the JSU shape parameters) and are not used in the main analysis.</w:t>
      </w:r>
    </w:p>
    <w:p>
      <w:pPr>
        <w:spacing w:after="80"/>
      </w:pPr>
      <w:r>
        <w:t>To test whether shape variation exceeds sampling noise, we bootstrap a null distribution: 500 same-sized subsamples are drawn with replacement from the full galaxy pool, shape parameters are refit in each, and 95% confidence envelopes are constructed. Spearman and Kendall rank tests then assess monotonic trend with redshift.</w:t>
      </w:r>
    </w:p>
    <w:p/>
    <w:p>
      <w:pPr>
        <w:pStyle w:val="Heading1"/>
      </w:pPr>
      <w:r>
        <w:rPr>
          <w:color w:val="1F497D"/>
          <w:sz w:val="26"/>
        </w:rPr>
        <w:t>4. Results (~400 words)</w:t>
      </w:r>
    </w:p>
    <w:p>
      <w:pPr>
        <w:pStyle w:val="Heading2"/>
      </w:pPr>
      <w:r>
        <w:rPr>
          <w:color w:val="2E74B5"/>
          <w:sz w:val="22"/>
        </w:rPr>
        <w:t>4.1 Halo Mass Fully Mediates Colour–Environment for Ellipticals</w:t>
      </w:r>
    </w:p>
    <w:p>
      <w:pPr>
        <w:spacing w:after="80"/>
      </w:pPr>
      <w:r>
        <w:t>Table 1 gives raw and partial Pearson correlations between u−r and the four environment metrics for the elliptical subsample. Raw correlations are r = 0.05–0.07, consistent with the original survey literature. After controlling for log(MassA), all partial correlations collapse to r ≈ 0.00–0.05 with p &gt; 0.3: halo mass fully accounts for the colour–environment signal in this morphologically selected sample.</w:t>
      </w:r>
    </w:p>
    <w:p>
      <w:pPr>
        <w:spacing w:after="80"/>
      </w:pPr>
      <w:r>
        <w:t>At the group level the signal is an order of magnitude stronger (raw r = 0.54–0.64 for TotRmag vs environment), because group averaging suppresses within-group positional scatter and exposes the between-group (halo-scale) signal. This amplification itself confirms that the correlation is a halo-scale phenomenon.</w:t>
      </w:r>
    </w:p>
    <w:p>
      <w:pPr>
        <w:spacing w:after="40"/>
        <w:ind w:left="432"/>
      </w:pPr>
      <w:r>
        <w:rPr>
          <w:i/>
          <w:color w:val="606060"/>
          <w:sz w:val="20"/>
        </w:rPr>
        <w:t>[Insert Table 1: environment × (raw r, partial r, p) for ellipticals]</w:t>
      </w:r>
    </w:p>
    <w:p>
      <w:pPr>
        <w:pStyle w:val="Heading2"/>
      </w:pPr>
      <w:r>
        <w:rPr>
          <w:color w:val="2E74B5"/>
          <w:sz w:val="22"/>
        </w:rPr>
        <w:t>4.2 Independent Environment Signal for the Full Population</w:t>
      </w:r>
    </w:p>
    <w:p>
      <w:pPr>
        <w:spacing w:after="80"/>
      </w:pPr>
      <w:r>
        <w:t>For all galaxy types, raw correlations are r = 0.18–0.24 and remain significant after halo control (partial r = 0.10–0.16, all p &lt; 10⁻²²). Approximately 50% of the colour–environment signal survives, indicating a secondary pathway independent of halo mass — plausibly morphology-driven, as late-type galaxies are susceptible to tidal stripping and harassment that are not captured by halo mass alone (Moore et al. 1996).</w:t>
      </w:r>
    </w:p>
    <w:p>
      <w:pPr>
        <w:spacing w:after="40"/>
        <w:ind w:left="432"/>
      </w:pPr>
      <w:r>
        <w:rPr>
          <w:i/>
          <w:color w:val="606060"/>
          <w:sz w:val="20"/>
        </w:rPr>
        <w:t>[Insert Table 2: environment × (raw r, partial r) for full population at individual and group levels]</w:t>
      </w:r>
    </w:p>
    <w:p>
      <w:pPr>
        <w:pStyle w:val="Heading2"/>
      </w:pPr>
      <w:r>
        <w:rPr>
          <w:color w:val="2E74B5"/>
          <w:sz w:val="22"/>
        </w:rPr>
        <w:t>4.3 Colour Distribution Shape Evolves Monotonically with Redshift</w:t>
      </w:r>
    </w:p>
    <w:p>
      <w:pPr>
        <w:spacing w:after="80"/>
      </w:pPr>
      <w:r>
        <w:t>Figure 1 shows skewness and Box-Cox λ against redshift, with the bootstrap 95% null envelope. Table 3 gives the full numerical results.</w:t>
      </w:r>
    </w:p>
    <w:p>
      <w:pPr>
        <w:spacing w:after="80"/>
      </w:pPr>
      <w:r>
        <w:t>Skewness decreases monotonically from +0.90 at z = 0.026 to −0.82 at z = 0.325 (Spearman r = −1.000, Kendall τ = −1.000, p = 4.0 × 10⁻⁴). Box-Cox λ increases monotonically from −0.20 to +2.70 over the same range (Spearman r = +1.000, Kendall τ = +1.000, p = 4.0 × 10⁻⁴). Both parameters lie outside the bootstrap null envelope at every bin, confirming the evolution is inconsistent with sampling noise.</w:t>
      </w:r>
    </w:p>
    <w:p>
      <w:pPr>
        <w:spacing w:after="80"/>
      </w:pPr>
      <w:r>
        <w:t>The physical picture is coherent. At z ≈ 0.33 (∼3.7 Gyr look-back time) the distribution is left-skewed: a star-forming majority with a red tail of recently quenched galaxies and λ &gt; 1, indicating the distribution is already broader than Normal toward the red. By z ≈ 0.03 the distribution is right-skewed with λ &lt; 0: the red sequence has consolidated into a sharp boundary, and the long tail now extends toward residual blue late-quenchers. The negative λ at low redshift is particularly striking — it implies the red sequence acts as a one-way absorbing state, consistent with the irreversibility of star-formation quenching.</w:t>
      </w:r>
    </w:p>
    <w:p>
      <w:pPr>
        <w:spacing w:after="40"/>
        <w:ind w:left="432"/>
      </w:pPr>
      <w:r>
        <w:rPr>
          <w:i/>
          <w:color w:val="606060"/>
          <w:sz w:val="20"/>
        </w:rPr>
        <w:t>[Insert Figure 1: skewness and λ vs z with bootstrap null envelopes; red stars where outside CI]</w:t>
      </w:r>
    </w:p>
    <w:p>
      <w:pPr>
        <w:spacing w:after="40"/>
        <w:ind w:left="432"/>
      </w:pPr>
      <w:r>
        <w:rPr>
          <w:i/>
          <w:color w:val="606060"/>
          <w:sz w:val="20"/>
        </w:rPr>
        <w:t>[Insert Table 3: z-bin × (N, λ, skewness, kurtosis)]</w:t>
      </w:r>
    </w:p>
    <w:p/>
    <w:p>
      <w:pPr>
        <w:pStyle w:val="Heading1"/>
      </w:pPr>
      <w:r>
        <w:rPr>
          <w:color w:val="1F497D"/>
          <w:sz w:val="26"/>
        </w:rPr>
        <w:t>5. Discussion (~250 words)</w:t>
      </w:r>
    </w:p>
    <w:p>
      <w:pPr>
        <w:spacing w:after="80"/>
      </w:pPr>
      <w:r>
        <w:t>Our partial correlation results align with the picture that halo mass is the primary driver of colour–environment correlations for morphologically selected red galaxies (Peng et al. 2012; Woo et al. 2013). Complete mediation for ellipticals suggests that once a galaxy has settled into a massive halo and undergone morphological transformation, residual local environment adds little further quenching pressure. The ∼50% survival of the signal in the full population points to secondary processes, consistent with harassment and tidal stripping acting preferentially on late-type discs (Moore et al. 1996).</w:t>
      </w:r>
    </w:p>
    <w:p>
      <w:pPr>
        <w:spacing w:after="80"/>
      </w:pPr>
      <w:r>
        <w:t>The distribution shape results offer a model-independent complement. Perfect monotonic Spearman trends (|r| = 1.00, p &lt; 0.001 for both skewness and λ) across seven independent redshift bins, combined with consistent departure from the bootstrap null, constitute strong evidence of real physical evolution — a direct quantitative answer to the objection that shape differences merely reflect statistical variation. The sign change in skewness and the transition of λ through zero provide concrete observational benchmarks that quenching models should reproduce.</w:t>
      </w:r>
    </w:p>
    <w:p>
      <w:pPr>
        <w:spacing w:after="80"/>
      </w:pPr>
      <w:r>
        <w:t>Limitations include the use of photometric redshifts in the lowest-z bin (z &lt; 0.05), where peculiar velocities add scatter. Future work could extend to z ∼ 0.5 using deeper surveys, or decompose shape evolution by stellar mass to disentangle mass quenching from environment quenching.</w:t>
      </w:r>
    </w:p>
    <w:p/>
    <w:p>
      <w:pPr>
        <w:pStyle w:val="Heading1"/>
      </w:pPr>
      <w:r>
        <w:rPr>
          <w:color w:val="1F497D"/>
          <w:sz w:val="26"/>
        </w:rPr>
        <w:t>6. Conclusions (~100 words)</w:t>
      </w:r>
    </w:p>
    <w:p>
      <w:pPr>
        <w:spacing w:after="80"/>
      </w:pPr>
      <w:r>
        <w:t>1.  Halo mass fully mediates colour–environment for elliptical galaxies (N = 1,270); partial correlations collapse to r ≈ 0 after controlling for log(MassA).</w:t>
      </w:r>
    </w:p>
    <w:p>
      <w:pPr>
        <w:spacing w:after="80"/>
      </w:pPr>
      <w:r>
        <w:t>2.  For the full galaxy population (N = 22,531), ∼50% of the signal survives halo control, indicating a morphology-linked secondary pathway.</w:t>
      </w:r>
    </w:p>
    <w:p>
      <w:pPr>
        <w:spacing w:after="80"/>
      </w:pPr>
      <w:r>
        <w:t>3.  Skewness and Box-Cox λ of the u−r distribution evolve monotonically with redshift (|Spearman r| = 1.00, p = 4 × 10⁻⁴), with skewness shifting from +0.90 to −0.82 and λ from −0.20 to +2.70 across z = 0.03–0.33. This is inconsistent with sampling noise and consistent with the progressive consolidation of the red sequence over cosmic time.</w:t>
      </w:r>
    </w:p>
    <w:p/>
    <w:p>
      <w:pPr>
        <w:pStyle w:val="Heading1"/>
      </w:pPr>
      <w:r>
        <w:rPr>
          <w:color w:val="1F497D"/>
          <w:sz w:val="26"/>
        </w:rPr>
        <w:t>Data Availability</w:t>
      </w:r>
    </w:p>
    <w:p>
      <w:pPr>
        <w:spacing w:after="80"/>
      </w:pPr>
      <w:r>
        <w:t>GAMA DR4 data are publicly available at https://www.gama-survey.org/dr4/. Analysis notebooks are available on request.</w:t>
      </w:r>
    </w:p>
    <w:p/>
    <w:p>
      <w:pPr>
        <w:pStyle w:val="Heading1"/>
      </w:pPr>
      <w:r>
        <w:rPr>
          <w:color w:val="1F497D"/>
          <w:sz w:val="26"/>
        </w:rPr>
        <w:t>Appendix A: Johnson SU Fit Parameters</w:t>
      </w:r>
    </w:p>
    <w:p>
      <w:pPr>
        <w:spacing w:after="80"/>
      </w:pPr>
      <w:r>
        <w:t>Table A1 gives the Johnson SU parameters a and b fitted in each redshift bin alongside skewness and Box-Cox λ for completeness. The JSU a parameter shows large bin-to-bin variation (−2.76, −11.68, +20.68, +9.78, +3.43, +2.80, +2.84) despite the smooth variation in skewness and λ. This reflects numerical instability in the JSU optimiser when the two shape parameters are nearly degenerate: multiple (a, b) combinations can produce similarly good fits to the same data. JSU b is better-behaved but still non-monotonic. We therefore use skewness and Box-Cox λ as the primary shape descriptors in the main analysis.</w:t>
      </w:r>
    </w:p>
    <w:p>
      <w:pPr>
        <w:spacing w:after="40"/>
        <w:ind w:left="432"/>
      </w:pPr>
      <w:r>
        <w:rPr>
          <w:i/>
          <w:color w:val="606060"/>
          <w:sz w:val="20"/>
        </w:rPr>
        <w:t>[Insert Table A1: z-bin × (JSU a, JSU b, λ, skewness, kurtosis)]</w:t>
      </w:r>
    </w:p>
    <w:p/>
    <w:p>
      <w:pPr>
        <w:spacing w:after="40"/>
        <w:ind w:left="432"/>
      </w:pPr>
      <w:r>
        <w:rPr>
          <w:i/>
          <w:color w:val="606060"/>
          <w:sz w:val="20"/>
        </w:rPr>
        <w:t>Estimated word count (body text only, excl. appendix): ~1,350 words. Within MNRAS Letters limit.</w:t>
      </w:r>
    </w:p>
    <w:p>
      <w:pPr>
        <w:spacing w:after="40"/>
        <w:ind w:left="432"/>
      </w:pPr>
      <w:r>
        <w:rPr>
          <w:i/>
          <w:color w:val="606060"/>
          <w:sz w:val="20"/>
        </w:rPr>
        <w:t>Figures/tables still to insert: Table 1, Table 2, Table 3, Figure 1, Table A1.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