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Halo Mass Mediates the Colour–Environment Relation in GAMA:</w:t>
        <w:br/>
        <w:t>Evidence from Partial Correlation and Distribution Shape Analysis</w:t>
      </w:r>
    </w:p>
    <w:p/>
    <w:p>
      <w:pPr>
        <w:jc w:val="center"/>
      </w:pPr>
      <w:r>
        <w:rPr>
          <w:b/>
        </w:rPr>
        <w:t>K. Sloan</w:t>
      </w:r>
      <w:r>
        <w:rPr>
          <w:i/>
        </w:rPr>
        <w:br/>
        <w:t>Independent Researcher — working draft for MNRAS Letters</w:t>
      </w:r>
    </w:p>
    <w:p/>
    <w:p>
      <w:pPr>
        <w:spacing w:after="40"/>
        <w:ind w:left="432"/>
      </w:pPr>
      <w:r>
        <w:rPr>
          <w:i/>
          <w:color w:val="606060"/>
          <w:sz w:val="19"/>
        </w:rPr>
        <w:t>Version 5 — figures embedded.</w:t>
      </w:r>
    </w:p>
    <w:p/>
    <w:p>
      <w:pPr>
        <w:pStyle w:val="Heading1"/>
      </w:pPr>
      <w:r>
        <w:rPr>
          <w:color w:val="1F497D"/>
          <w:sz w:val="26"/>
        </w:rPr>
        <w:t>Abstract</w:t>
      </w:r>
    </w:p>
    <w:p>
      <w:pPr>
        <w:spacing w:after="80"/>
      </w:pPr>
      <w:r>
        <w:t>We investigate the relationship between galaxy colour (u−r) and local environment for galaxies in the GAMA DR4 survey, using partial correlation to control for group halo mass, and bootstrap null tests to assess physical evolution in the shape of the colour distribution with redshift. For elliptical galaxies (N = 1,270), raw correlations between u−r and all four environment metrics collapse to r ≈ 0 once group halo mass is controlled, demonstrating complete mediation. For the full galaxy population (N = 22,531), ∼50% of the signal survives halo control, indicating an independent morphology-linked pathway. Skewness and Box-Cox λ of the u−r distribution evolve monotonically with redshift (Spearman |r| = 1.00, p &lt; 0.001 for both): skewness shifts from +0.90 at z = 0.03 to −0.82 at z = 0.33, and λ from −0.20 to +2.70. Both trends exceed the bootstrap 95% null envelope at every redshift bin, confirming physical evolution consistent with ongoing galaxy quenching.</w:t>
      </w:r>
    </w:p>
    <w:p/>
    <w:p>
      <w:pPr>
        <w:pStyle w:val="Heading1"/>
      </w:pPr>
      <w:r>
        <w:rPr>
          <w:color w:val="1F497D"/>
          <w:sz w:val="26"/>
        </w:rPr>
        <w:t>1. Introduction (~200 words)</w:t>
      </w:r>
    </w:p>
    <w:p>
      <w:pPr>
        <w:spacing w:after="80"/>
      </w:pPr>
      <w:r>
        <w:t>The correlation between galaxy colour and local environment — red galaxies preferentially inhabiting denser regions — is among the most robust observational results in galaxy evolution (Dressler 1980; Blanton &amp; Moustakas 2009). The outstanding question is mechanistic: does environment directly drive quenching, or is the signal primarily a reflection of halo mass, which correlates with both environment and the efficiency of quenching processes such as ram-pressure stripping and strangulation?</w:t>
      </w:r>
    </w:p>
    <w:p>
      <w:pPr>
        <w:spacing w:after="80"/>
      </w:pPr>
      <w:r>
        <w:t>A complementary question is whether the shape of the colour distribution encodes evolutionary information beyond what the mean captures. If the u−r distribution transforms systematically with redshift in ways that exceed sampling noise, that transformation constrains the quenching timescale independently of correlation analyses.</w:t>
      </w:r>
    </w:p>
    <w:p>
      <w:pPr>
        <w:spacing w:after="80"/>
      </w:pPr>
      <w:r>
        <w:t>We address both questions using GAMA DR4 (Driver et al. 2022), exploiting its group catalogue (Robotham et al. 2011) and environment measures (Brough et al. 2013). Our approach is model-independent: partial correlation requires no assumption about the functional form of the halo–colour relation, and the bootstrap null test requires no assumption about the expected distribution shape.</w:t>
      </w:r>
    </w:p>
    <w:p>
      <w:pPr>
        <w:spacing w:after="40"/>
        <w:ind w:left="432"/>
      </w:pPr>
      <w:r>
        <w:rPr>
          <w:i/>
          <w:color w:val="606060"/>
          <w:sz w:val="19"/>
        </w:rPr>
        <w:t>[~200 words. Add citations as Ivan suggests.]</w:t>
      </w:r>
    </w:p>
    <w:p/>
    <w:p>
      <w:pPr>
        <w:pStyle w:val="Heading1"/>
      </w:pPr>
      <w:r>
        <w:rPr>
          <w:color w:val="1F497D"/>
          <w:sz w:val="26"/>
        </w:rPr>
        <w:t>2. Data and Sample</w:t>
      </w:r>
    </w:p>
    <w:p>
      <w:pPr>
        <w:spacing w:after="80"/>
      </w:pPr>
      <w:r>
        <w:t>We use GAMA DR4 StellarMassesLambdarv24 (200,077 galaxies), applying quality cuts: 0.5 &lt; u−r &lt; 4.0, log M* &gt; 8.0, 0.002 &lt; z &lt; 0.35, giving 165,488 galaxies for the distribution shape analysis. For partial correlation we additionally require group membership (G3CGalv10), group halo mass proxy MassA (G3CFoFGroupv10), and environment measures (EnvironmentMeasuresv06: CountInCyl, DistanceTo5nn, SurfaceDensity, AGEDenPar). The elliptical subsample uses VisualMorphologyv03 (ELLIPTICAL_CODE = 1), yielding N = 1,270. The full group population is N = 22,531.</w:t>
      </w:r>
    </w:p>
    <w:p/>
    <w:p>
      <w:pPr>
        <w:pStyle w:val="Heading1"/>
      </w:pPr>
      <w:r>
        <w:rPr>
          <w:color w:val="1F497D"/>
          <w:sz w:val="26"/>
        </w:rPr>
        <w:t>3. Methods</w:t>
      </w:r>
    </w:p>
    <w:p>
      <w:pPr>
        <w:pStyle w:val="Heading2"/>
      </w:pPr>
      <w:r>
        <w:rPr>
          <w:color w:val="2E74B5"/>
          <w:sz w:val="22"/>
        </w:rPr>
        <w:t>3.1 Partial Correlation</w:t>
      </w:r>
    </w:p>
    <w:p>
      <w:pPr>
        <w:spacing w:after="80"/>
      </w:pPr>
      <w:r>
        <w:t>We residualise both u−r and each log-environment measure against log(MassA) via linear regression, then correlate residuals (Pearson and Spearman). Results are reported at the individual galaxy level and at the group level (mean u−r and red fraction f_red = fraction with u−r &gt; 2.1, groups with N ≥ 2 members).</w:t>
      </w:r>
    </w:p>
    <w:p>
      <w:pPr>
        <w:pStyle w:val="Heading2"/>
      </w:pPr>
      <w:r>
        <w:rPr>
          <w:color w:val="2E74B5"/>
          <w:sz w:val="22"/>
        </w:rPr>
        <w:t>3.2 Distribution Shape Evolution</w:t>
      </w:r>
    </w:p>
    <w:p>
      <w:pPr>
        <w:spacing w:after="80"/>
      </w:pPr>
      <w:r>
        <w:t>The 165,488-galaxy sample is divided into seven equal-width redshift bins (z = 0.002–0.35, Δz = 0.05; N per bin = 3,900–34,000). In each bin we compute skewness, excess kurtosis, and Box-Cox λ. Johnson SU parameters are reported in Appendix A; they show numerical instability and are excluded from the main analysis. We bootstrap 500 same-sized subsamples from the full galaxy pool to build 95% null envelopes, and use Spearman and Kendall rank tests for monotonic trend.</w:t>
      </w:r>
    </w:p>
    <w:p/>
    <w:p>
      <w:pPr>
        <w:pStyle w:val="Heading1"/>
      </w:pPr>
      <w:r>
        <w:rPr>
          <w:color w:val="1F497D"/>
          <w:sz w:val="26"/>
        </w:rPr>
        <w:t>4. Results</w:t>
      </w:r>
    </w:p>
    <w:p>
      <w:pPr>
        <w:pStyle w:val="Heading2"/>
      </w:pPr>
      <w:r>
        <w:rPr>
          <w:color w:val="2E74B5"/>
          <w:sz w:val="22"/>
        </w:rPr>
        <w:t>4.1 Halo Mass Fully Mediates Colour–Environment for Ellipticals</w:t>
      </w:r>
    </w:p>
    <w:p>
      <w:pPr>
        <w:spacing w:after="80"/>
      </w:pPr>
      <w:r>
        <w:t>Table 1 shows raw and partial Pearson correlations for the elliptical subsample. Raw correlations are r = 0.07–0.09. After controlling for log(MassA), all partial correlations collapse to r ≈ 0.00–0.05 with p &gt; 0.3, demonstrating complete mediation. At the group level (N = 242 groups) raw r rises to 0.13–0.15 — amplified by group averaging — but again collapses after halo control.</w:t>
      </w:r>
    </w:p>
    <w:p>
      <w:pPr>
        <w:spacing w:after="40"/>
      </w:pPr>
      <w:r>
        <w:rPr>
          <w:b/>
          <w:color w:val="1F497D"/>
          <w:sz w:val="20"/>
        </w:rPr>
        <w:t>Table 1. Partial correlation — ellipticals, controlling for log(MassA)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721"/>
            <w:shd w:val="clear" w:color="auto" w:fill="1F497D"/>
          </w:tcPr>
          <w:p>
            <w:pPr>
              <w:spacing w:after="0"/>
            </w:pPr>
            <w:r>
              <w:rPr>
                <w:b/>
                <w:color w:val="FFFFFF"/>
                <w:sz w:val="18"/>
              </w:rPr>
            </w:r>
          </w:p>
        </w:tc>
        <w:tc>
          <w:tcPr>
            <w:tcW w:type="dxa" w:w="1020"/>
            <w:shd w:val="clear" w:color="auto" w:fill="1F497D"/>
          </w:tcPr>
          <w:p>
            <w:pPr>
              <w:spacing w:after="0"/>
            </w:pPr>
            <w:r>
              <w:rPr>
                <w:b/>
                <w:color w:val="FFFFFF"/>
                <w:sz w:val="18"/>
              </w:rPr>
              <w:t>Raw r</w:t>
            </w:r>
          </w:p>
        </w:tc>
        <w:tc>
          <w:tcPr>
            <w:tcW w:type="dxa" w:w="1020"/>
            <w:shd w:val="clear" w:color="auto" w:fill="1F497D"/>
          </w:tcPr>
          <w:p>
            <w:pPr>
              <w:spacing w:after="0"/>
            </w:pPr>
            <w:r>
              <w:rPr>
                <w:b/>
                <w:color w:val="FFFFFF"/>
                <w:sz w:val="18"/>
              </w:rPr>
              <w:t>Raw p</w:t>
            </w:r>
          </w:p>
        </w:tc>
        <w:tc>
          <w:tcPr>
            <w:tcW w:type="dxa" w:w="1134"/>
            <w:shd w:val="clear" w:color="auto" w:fill="1F497D"/>
          </w:tcPr>
          <w:p>
            <w:pPr>
              <w:spacing w:after="0"/>
            </w:pPr>
            <w:r>
              <w:rPr>
                <w:b/>
                <w:color w:val="FFFFFF"/>
                <w:sz w:val="18"/>
              </w:rPr>
              <w:t>Partial r</w:t>
            </w:r>
          </w:p>
        </w:tc>
        <w:tc>
          <w:tcPr>
            <w:tcW w:type="dxa" w:w="1134"/>
            <w:shd w:val="clear" w:color="auto" w:fill="1F497D"/>
          </w:tcPr>
          <w:p>
            <w:pPr>
              <w:spacing w:after="0"/>
            </w:pPr>
            <w:r>
              <w:rPr>
                <w:b/>
                <w:color w:val="FFFFFF"/>
                <w:sz w:val="18"/>
              </w:rPr>
              <w:t>Partial p</w:t>
            </w:r>
          </w:p>
        </w:tc>
        <w:tc>
          <w:tcPr>
            <w:tcW w:type="dxa" w:w="794"/>
            <w:shd w:val="clear" w:color="auto" w:fill="1F497D"/>
          </w:tcPr>
          <w:p>
            <w:pPr>
              <w:spacing w:after="0"/>
            </w:pPr>
            <w:r>
              <w:rPr>
                <w:b/>
                <w:color w:val="FFFFFF"/>
                <w:sz w:val="18"/>
              </w:rPr>
              <w:t>Sig?</w:t>
            </w:r>
          </w:p>
        </w:tc>
      </w:tr>
      <w:tr>
        <w:tc>
          <w:tcPr>
            <w:tcW w:type="dxa" w:w="2721"/>
            <w:shd w:val="clear" w:color="auto" w:fill="EBF3FA"/>
          </w:tcPr>
          <w:p>
            <w:pPr>
              <w:spacing w:after="0"/>
            </w:pPr>
            <w:r>
              <w:rPr>
                <w:sz w:val="18"/>
              </w:rPr>
              <w:t>Individual level  (N = 1,270)</w:t>
            </w:r>
          </w:p>
        </w:tc>
        <w:tc>
          <w:tcPr>
            <w:tcW w:type="dxa" w:w="1020"/>
            <w:shd w:val="clear" w:color="auto" w:fill="EBF3FA"/>
          </w:tcPr>
          <w:p>
            <w:pPr>
              <w:spacing w:after="0"/>
            </w:pPr>
            <w:r>
              <w:rPr>
                <w:sz w:val="18"/>
              </w:rPr>
            </w:r>
          </w:p>
        </w:tc>
        <w:tc>
          <w:tcPr>
            <w:tcW w:type="dxa" w:w="1020"/>
            <w:shd w:val="clear" w:color="auto" w:fill="EBF3FA"/>
          </w:tcPr>
          <w:p>
            <w:pPr>
              <w:spacing w:after="0"/>
            </w:pPr>
            <w:r>
              <w:rPr>
                <w:sz w:val="18"/>
              </w:rPr>
            </w:r>
          </w:p>
        </w:tc>
        <w:tc>
          <w:tcPr>
            <w:tcW w:type="dxa" w:w="1134"/>
            <w:shd w:val="clear" w:color="auto" w:fill="EBF3FA"/>
          </w:tcPr>
          <w:p>
            <w:pPr>
              <w:spacing w:after="0"/>
            </w:pPr>
            <w:r>
              <w:rPr>
                <w:sz w:val="18"/>
              </w:rPr>
            </w:r>
          </w:p>
        </w:tc>
        <w:tc>
          <w:tcPr>
            <w:tcW w:type="dxa" w:w="1134"/>
            <w:shd w:val="clear" w:color="auto" w:fill="EBF3FA"/>
          </w:tcPr>
          <w:p>
            <w:pPr>
              <w:spacing w:after="0"/>
            </w:pPr>
            <w:r>
              <w:rPr>
                <w:sz w:val="18"/>
              </w:rPr>
            </w:r>
          </w:p>
        </w:tc>
        <w:tc>
          <w:tcPr>
            <w:tcW w:type="dxa" w:w="794"/>
            <w:shd w:val="clear" w:color="auto" w:fill="EBF3FA"/>
          </w:tcPr>
          <w:p>
            <w:pPr>
              <w:spacing w:after="0"/>
            </w:pPr>
            <w:r>
              <w:rPr>
                <w:sz w:val="18"/>
              </w:rPr>
            </w:r>
          </w:p>
        </w:tc>
      </w:tr>
      <w:tr>
        <w:tc>
          <w:tcPr>
            <w:tcW w:type="dxa" w:w="2721"/>
            <w:shd w:val="clear" w:color="auto" w:fill="FFFFFF"/>
          </w:tcPr>
          <w:p>
            <w:pPr>
              <w:spacing w:after="0"/>
            </w:pPr>
            <w:r>
              <w:rPr>
                <w:sz w:val="18"/>
              </w:rPr>
              <w:t xml:space="preserve">  log(CountInCyl)</w:t>
            </w:r>
          </w:p>
        </w:tc>
        <w:tc>
          <w:tcPr>
            <w:tcW w:type="dxa" w:w="1020"/>
            <w:shd w:val="clear" w:color="auto" w:fill="FFFFFF"/>
          </w:tcPr>
          <w:p>
            <w:pPr>
              <w:spacing w:after="0"/>
            </w:pPr>
            <w:r>
              <w:rPr>
                <w:sz w:val="18"/>
              </w:rPr>
              <w:t>+0.066</w:t>
            </w:r>
          </w:p>
        </w:tc>
        <w:tc>
          <w:tcPr>
            <w:tcW w:type="dxa" w:w="1020"/>
            <w:shd w:val="clear" w:color="auto" w:fill="FFFFFF"/>
          </w:tcPr>
          <w:p>
            <w:pPr>
              <w:spacing w:after="0"/>
            </w:pPr>
            <w:r>
              <w:rPr>
                <w:sz w:val="18"/>
              </w:rPr>
              <w:t>0.019</w:t>
            </w:r>
          </w:p>
        </w:tc>
        <w:tc>
          <w:tcPr>
            <w:tcW w:type="dxa" w:w="1134"/>
            <w:shd w:val="clear" w:color="auto" w:fill="FFFFFF"/>
          </w:tcPr>
          <w:p>
            <w:pPr>
              <w:spacing w:after="0"/>
            </w:pPr>
            <w:r>
              <w:rPr>
                <w:sz w:val="18"/>
              </w:rPr>
              <w:t>−0.029</w:t>
            </w:r>
          </w:p>
        </w:tc>
        <w:tc>
          <w:tcPr>
            <w:tcW w:type="dxa" w:w="1134"/>
            <w:shd w:val="clear" w:color="auto" w:fill="FFFFFF"/>
          </w:tcPr>
          <w:p>
            <w:pPr>
              <w:spacing w:after="0"/>
            </w:pPr>
            <w:r>
              <w:rPr>
                <w:sz w:val="18"/>
              </w:rPr>
              <w:t>0.296</w:t>
            </w:r>
          </w:p>
        </w:tc>
        <w:tc>
          <w:tcPr>
            <w:tcW w:type="dxa" w:w="794"/>
            <w:shd w:val="clear" w:color="auto" w:fill="FFFFFF"/>
          </w:tcPr>
          <w:p>
            <w:pPr>
              <w:spacing w:after="0"/>
            </w:pPr>
            <w:r>
              <w:rPr>
                <w:sz w:val="18"/>
              </w:rPr>
              <w:t>No</w:t>
            </w:r>
          </w:p>
        </w:tc>
      </w:tr>
      <w:tr>
        <w:tc>
          <w:tcPr>
            <w:tcW w:type="dxa" w:w="2721"/>
            <w:shd w:val="clear" w:color="auto" w:fill="EBF3FA"/>
          </w:tcPr>
          <w:p>
            <w:pPr>
              <w:spacing w:after="0"/>
            </w:pPr>
            <w:r>
              <w:rPr>
                <w:sz w:val="18"/>
              </w:rPr>
              <w:t xml:space="preserve">  log(DistanceTo5nn)</w:t>
            </w:r>
          </w:p>
        </w:tc>
        <w:tc>
          <w:tcPr>
            <w:tcW w:type="dxa" w:w="1020"/>
            <w:shd w:val="clear" w:color="auto" w:fill="EBF3FA"/>
          </w:tcPr>
          <w:p>
            <w:pPr>
              <w:spacing w:after="0"/>
            </w:pPr>
            <w:r>
              <w:rPr>
                <w:sz w:val="18"/>
              </w:rPr>
              <w:t>−0.090</w:t>
            </w:r>
          </w:p>
        </w:tc>
        <w:tc>
          <w:tcPr>
            <w:tcW w:type="dxa" w:w="1020"/>
            <w:shd w:val="clear" w:color="auto" w:fill="EBF3FA"/>
          </w:tcPr>
          <w:p>
            <w:pPr>
              <w:spacing w:after="0"/>
            </w:pPr>
            <w:r>
              <w:rPr>
                <w:sz w:val="18"/>
              </w:rPr>
              <w:t>0.001</w:t>
            </w:r>
          </w:p>
        </w:tc>
        <w:tc>
          <w:tcPr>
            <w:tcW w:type="dxa" w:w="1134"/>
            <w:shd w:val="clear" w:color="auto" w:fill="EBF3FA"/>
          </w:tcPr>
          <w:p>
            <w:pPr>
              <w:spacing w:after="0"/>
            </w:pPr>
            <w:r>
              <w:rPr>
                <w:sz w:val="18"/>
              </w:rPr>
              <w:t>−0.006</w:t>
            </w:r>
          </w:p>
        </w:tc>
        <w:tc>
          <w:tcPr>
            <w:tcW w:type="dxa" w:w="1134"/>
            <w:shd w:val="clear" w:color="auto" w:fill="EBF3FA"/>
          </w:tcPr>
          <w:p>
            <w:pPr>
              <w:spacing w:after="0"/>
            </w:pPr>
            <w:r>
              <w:rPr>
                <w:sz w:val="18"/>
              </w:rPr>
              <w:t>0.824</w:t>
            </w:r>
          </w:p>
        </w:tc>
        <w:tc>
          <w:tcPr>
            <w:tcW w:type="dxa" w:w="794"/>
            <w:shd w:val="clear" w:color="auto" w:fill="EBF3FA"/>
          </w:tcPr>
          <w:p>
            <w:pPr>
              <w:spacing w:after="0"/>
            </w:pPr>
            <w:r>
              <w:rPr>
                <w:sz w:val="18"/>
              </w:rPr>
              <w:t>No</w:t>
            </w:r>
          </w:p>
        </w:tc>
      </w:tr>
      <w:tr>
        <w:tc>
          <w:tcPr>
            <w:tcW w:type="dxa" w:w="2721"/>
            <w:shd w:val="clear" w:color="auto" w:fill="FFFFFF"/>
          </w:tcPr>
          <w:p>
            <w:pPr>
              <w:spacing w:after="0"/>
            </w:pPr>
            <w:r>
              <w:rPr>
                <w:sz w:val="18"/>
              </w:rPr>
              <w:t xml:space="preserve">  log(SurfaceDensity)</w:t>
            </w:r>
          </w:p>
        </w:tc>
        <w:tc>
          <w:tcPr>
            <w:tcW w:type="dxa" w:w="1020"/>
            <w:shd w:val="clear" w:color="auto" w:fill="FFFFFF"/>
          </w:tcPr>
          <w:p>
            <w:pPr>
              <w:spacing w:after="0"/>
            </w:pPr>
            <w:r>
              <w:rPr>
                <w:sz w:val="18"/>
              </w:rPr>
              <w:t>+0.089</w:t>
            </w:r>
          </w:p>
        </w:tc>
        <w:tc>
          <w:tcPr>
            <w:tcW w:type="dxa" w:w="1020"/>
            <w:shd w:val="clear" w:color="auto" w:fill="FFFFFF"/>
          </w:tcPr>
          <w:p>
            <w:pPr>
              <w:spacing w:after="0"/>
            </w:pPr>
            <w:r>
              <w:rPr>
                <w:sz w:val="18"/>
              </w:rPr>
              <w:t>0.002</w:t>
            </w:r>
          </w:p>
        </w:tc>
        <w:tc>
          <w:tcPr>
            <w:tcW w:type="dxa" w:w="1134"/>
            <w:shd w:val="clear" w:color="auto" w:fill="FFFFFF"/>
          </w:tcPr>
          <w:p>
            <w:pPr>
              <w:spacing w:after="0"/>
            </w:pPr>
            <w:r>
              <w:rPr>
                <w:sz w:val="18"/>
              </w:rPr>
              <w:t>+0.005</w:t>
            </w:r>
          </w:p>
        </w:tc>
        <w:tc>
          <w:tcPr>
            <w:tcW w:type="dxa" w:w="1134"/>
            <w:shd w:val="clear" w:color="auto" w:fill="FFFFFF"/>
          </w:tcPr>
          <w:p>
            <w:pPr>
              <w:spacing w:after="0"/>
            </w:pPr>
            <w:r>
              <w:rPr>
                <w:sz w:val="18"/>
              </w:rPr>
              <w:t>0.869</w:t>
            </w:r>
          </w:p>
        </w:tc>
        <w:tc>
          <w:tcPr>
            <w:tcW w:type="dxa" w:w="794"/>
            <w:shd w:val="clear" w:color="auto" w:fill="FFFFFF"/>
          </w:tcPr>
          <w:p>
            <w:pPr>
              <w:spacing w:after="0"/>
            </w:pPr>
            <w:r>
              <w:rPr>
                <w:sz w:val="18"/>
              </w:rPr>
              <w:t>No</w:t>
            </w:r>
          </w:p>
        </w:tc>
      </w:tr>
      <w:tr>
        <w:tc>
          <w:tcPr>
            <w:tcW w:type="dxa" w:w="2721"/>
            <w:shd w:val="clear" w:color="auto" w:fill="EBF3FA"/>
          </w:tcPr>
          <w:p>
            <w:pPr>
              <w:spacing w:after="0"/>
            </w:pPr>
            <w:r>
              <w:rPr>
                <w:sz w:val="18"/>
              </w:rPr>
              <w:t xml:space="preserve">  log(AGEDenPar)</w:t>
            </w:r>
          </w:p>
        </w:tc>
        <w:tc>
          <w:tcPr>
            <w:tcW w:type="dxa" w:w="1020"/>
            <w:shd w:val="clear" w:color="auto" w:fill="EBF3FA"/>
          </w:tcPr>
          <w:p>
            <w:pPr>
              <w:spacing w:after="0"/>
            </w:pPr>
            <w:r>
              <w:rPr>
                <w:sz w:val="18"/>
              </w:rPr>
              <w:t>+0.071</w:t>
            </w:r>
          </w:p>
        </w:tc>
        <w:tc>
          <w:tcPr>
            <w:tcW w:type="dxa" w:w="1020"/>
            <w:shd w:val="clear" w:color="auto" w:fill="EBF3FA"/>
          </w:tcPr>
          <w:p>
            <w:pPr>
              <w:spacing w:after="0"/>
            </w:pPr>
            <w:r>
              <w:rPr>
                <w:sz w:val="18"/>
              </w:rPr>
              <w:t>0.012</w:t>
            </w:r>
          </w:p>
        </w:tc>
        <w:tc>
          <w:tcPr>
            <w:tcW w:type="dxa" w:w="1134"/>
            <w:shd w:val="clear" w:color="auto" w:fill="EBF3FA"/>
          </w:tcPr>
          <w:p>
            <w:pPr>
              <w:spacing w:after="0"/>
            </w:pPr>
            <w:r>
              <w:rPr>
                <w:sz w:val="18"/>
              </w:rPr>
              <w:t>+0.023</w:t>
            </w:r>
          </w:p>
        </w:tc>
        <w:tc>
          <w:tcPr>
            <w:tcW w:type="dxa" w:w="1134"/>
            <w:shd w:val="clear" w:color="auto" w:fill="EBF3FA"/>
          </w:tcPr>
          <w:p>
            <w:pPr>
              <w:spacing w:after="0"/>
            </w:pPr>
            <w:r>
              <w:rPr>
                <w:sz w:val="18"/>
              </w:rPr>
              <w:t>0.424</w:t>
            </w:r>
          </w:p>
        </w:tc>
        <w:tc>
          <w:tcPr>
            <w:tcW w:type="dxa" w:w="794"/>
            <w:shd w:val="clear" w:color="auto" w:fill="EBF3FA"/>
          </w:tcPr>
          <w:p>
            <w:pPr>
              <w:spacing w:after="0"/>
            </w:pPr>
            <w:r>
              <w:rPr>
                <w:sz w:val="18"/>
              </w:rPr>
              <w:t>No</w:t>
            </w:r>
          </w:p>
        </w:tc>
      </w:tr>
      <w:tr>
        <w:tc>
          <w:tcPr>
            <w:tcW w:type="dxa" w:w="2721"/>
            <w:shd w:val="clear" w:color="auto" w:fill="FFFFFF"/>
          </w:tcPr>
          <w:p>
            <w:pPr>
              <w:spacing w:after="0"/>
            </w:pPr>
            <w:r>
              <w:rPr>
                <w:sz w:val="18"/>
              </w:rPr>
              <w:t>Group level  (N = 242 groups)</w:t>
            </w:r>
          </w:p>
        </w:tc>
        <w:tc>
          <w:tcPr>
            <w:tcW w:type="dxa" w:w="1020"/>
            <w:shd w:val="clear" w:color="auto" w:fill="FFFFFF"/>
          </w:tcPr>
          <w:p>
            <w:pPr>
              <w:spacing w:after="0"/>
            </w:pPr>
            <w:r>
              <w:rPr>
                <w:sz w:val="18"/>
              </w:rPr>
            </w:r>
          </w:p>
        </w:tc>
        <w:tc>
          <w:tcPr>
            <w:tcW w:type="dxa" w:w="1020"/>
            <w:shd w:val="clear" w:color="auto" w:fill="FFFFFF"/>
          </w:tcPr>
          <w:p>
            <w:pPr>
              <w:spacing w:after="0"/>
            </w:pPr>
            <w:r>
              <w:rPr>
                <w:sz w:val="18"/>
              </w:rPr>
            </w:r>
          </w:p>
        </w:tc>
        <w:tc>
          <w:tcPr>
            <w:tcW w:type="dxa" w:w="1134"/>
            <w:shd w:val="clear" w:color="auto" w:fill="FFFFFF"/>
          </w:tcPr>
          <w:p>
            <w:pPr>
              <w:spacing w:after="0"/>
            </w:pPr>
            <w:r>
              <w:rPr>
                <w:sz w:val="18"/>
              </w:rPr>
            </w:r>
          </w:p>
        </w:tc>
        <w:tc>
          <w:tcPr>
            <w:tcW w:type="dxa" w:w="1134"/>
            <w:shd w:val="clear" w:color="auto" w:fill="FFFFFF"/>
          </w:tcPr>
          <w:p>
            <w:pPr>
              <w:spacing w:after="0"/>
            </w:pPr>
            <w:r>
              <w:rPr>
                <w:sz w:val="18"/>
              </w:rPr>
            </w:r>
          </w:p>
        </w:tc>
        <w:tc>
          <w:tcPr>
            <w:tcW w:type="dxa" w:w="794"/>
            <w:shd w:val="clear" w:color="auto" w:fill="FFFFFF"/>
          </w:tcPr>
          <w:p>
            <w:pPr>
              <w:spacing w:after="0"/>
            </w:pPr>
            <w:r>
              <w:rPr>
                <w:sz w:val="18"/>
              </w:rPr>
            </w:r>
          </w:p>
        </w:tc>
      </w:tr>
      <w:tr>
        <w:tc>
          <w:tcPr>
            <w:tcW w:type="dxa" w:w="2721"/>
            <w:shd w:val="clear" w:color="auto" w:fill="EBF3FA"/>
          </w:tcPr>
          <w:p>
            <w:pPr>
              <w:spacing w:after="0"/>
            </w:pPr>
            <w:r>
              <w:rPr>
                <w:sz w:val="18"/>
              </w:rPr>
              <w:t xml:space="preserve">  log(CountInCyl)</w:t>
            </w:r>
          </w:p>
        </w:tc>
        <w:tc>
          <w:tcPr>
            <w:tcW w:type="dxa" w:w="1020"/>
            <w:shd w:val="clear" w:color="auto" w:fill="EBF3FA"/>
          </w:tcPr>
          <w:p>
            <w:pPr>
              <w:spacing w:after="0"/>
            </w:pPr>
            <w:r>
              <w:rPr>
                <w:sz w:val="18"/>
              </w:rPr>
              <w:t>+0.133</w:t>
            </w:r>
          </w:p>
        </w:tc>
        <w:tc>
          <w:tcPr>
            <w:tcW w:type="dxa" w:w="1020"/>
            <w:shd w:val="clear" w:color="auto" w:fill="EBF3FA"/>
          </w:tcPr>
          <w:p>
            <w:pPr>
              <w:spacing w:after="0"/>
            </w:pPr>
            <w:r>
              <w:rPr>
                <w:sz w:val="18"/>
              </w:rPr>
              <w:t>0.039</w:t>
            </w:r>
          </w:p>
        </w:tc>
        <w:tc>
          <w:tcPr>
            <w:tcW w:type="dxa" w:w="1134"/>
            <w:shd w:val="clear" w:color="auto" w:fill="EBF3FA"/>
          </w:tcPr>
          <w:p>
            <w:pPr>
              <w:spacing w:after="0"/>
            </w:pPr>
            <w:r>
              <w:rPr>
                <w:sz w:val="18"/>
              </w:rPr>
              <w:t>+0.025</w:t>
            </w:r>
          </w:p>
        </w:tc>
        <w:tc>
          <w:tcPr>
            <w:tcW w:type="dxa" w:w="1134"/>
            <w:shd w:val="clear" w:color="auto" w:fill="EBF3FA"/>
          </w:tcPr>
          <w:p>
            <w:pPr>
              <w:spacing w:after="0"/>
            </w:pPr>
            <w:r>
              <w:rPr>
                <w:sz w:val="18"/>
              </w:rPr>
              <w:t>0.700</w:t>
            </w:r>
          </w:p>
        </w:tc>
        <w:tc>
          <w:tcPr>
            <w:tcW w:type="dxa" w:w="794"/>
            <w:shd w:val="clear" w:color="auto" w:fill="EBF3FA"/>
          </w:tcPr>
          <w:p>
            <w:pPr>
              <w:spacing w:after="0"/>
            </w:pPr>
            <w:r>
              <w:rPr>
                <w:sz w:val="18"/>
              </w:rPr>
              <w:t>No</w:t>
            </w:r>
          </w:p>
        </w:tc>
      </w:tr>
      <w:tr>
        <w:tc>
          <w:tcPr>
            <w:tcW w:type="dxa" w:w="2721"/>
            <w:shd w:val="clear" w:color="auto" w:fill="FFFFFF"/>
          </w:tcPr>
          <w:p>
            <w:pPr>
              <w:spacing w:after="0"/>
            </w:pPr>
            <w:r>
              <w:rPr>
                <w:sz w:val="18"/>
              </w:rPr>
              <w:t xml:space="preserve">  log(DistanceTo5nn)</w:t>
            </w:r>
          </w:p>
        </w:tc>
        <w:tc>
          <w:tcPr>
            <w:tcW w:type="dxa" w:w="1020"/>
            <w:shd w:val="clear" w:color="auto" w:fill="FFFFFF"/>
          </w:tcPr>
          <w:p>
            <w:pPr>
              <w:spacing w:after="0"/>
            </w:pPr>
            <w:r>
              <w:rPr>
                <w:sz w:val="18"/>
              </w:rPr>
              <w:t>−0.147</w:t>
            </w:r>
          </w:p>
        </w:tc>
        <w:tc>
          <w:tcPr>
            <w:tcW w:type="dxa" w:w="1020"/>
            <w:shd w:val="clear" w:color="auto" w:fill="FFFFFF"/>
          </w:tcPr>
          <w:p>
            <w:pPr>
              <w:spacing w:after="0"/>
            </w:pPr>
            <w:r>
              <w:rPr>
                <w:sz w:val="18"/>
              </w:rPr>
              <w:t>0.022</w:t>
            </w:r>
          </w:p>
        </w:tc>
        <w:tc>
          <w:tcPr>
            <w:tcW w:type="dxa" w:w="1134"/>
            <w:shd w:val="clear" w:color="auto" w:fill="FFFFFF"/>
          </w:tcPr>
          <w:p>
            <w:pPr>
              <w:spacing w:after="0"/>
            </w:pPr>
            <w:r>
              <w:rPr>
                <w:sz w:val="18"/>
              </w:rPr>
              <w:t>−0.046</w:t>
            </w:r>
          </w:p>
        </w:tc>
        <w:tc>
          <w:tcPr>
            <w:tcW w:type="dxa" w:w="1134"/>
            <w:shd w:val="clear" w:color="auto" w:fill="FFFFFF"/>
          </w:tcPr>
          <w:p>
            <w:pPr>
              <w:spacing w:after="0"/>
            </w:pPr>
            <w:r>
              <w:rPr>
                <w:sz w:val="18"/>
              </w:rPr>
              <w:t>0.480</w:t>
            </w:r>
          </w:p>
        </w:tc>
        <w:tc>
          <w:tcPr>
            <w:tcW w:type="dxa" w:w="794"/>
            <w:shd w:val="clear" w:color="auto" w:fill="FFFFFF"/>
          </w:tcPr>
          <w:p>
            <w:pPr>
              <w:spacing w:after="0"/>
            </w:pPr>
            <w:r>
              <w:rPr>
                <w:sz w:val="18"/>
              </w:rPr>
              <w:t>No</w:t>
            </w:r>
          </w:p>
        </w:tc>
      </w:tr>
      <w:tr>
        <w:tc>
          <w:tcPr>
            <w:tcW w:type="dxa" w:w="2721"/>
            <w:shd w:val="clear" w:color="auto" w:fill="EBF3FA"/>
          </w:tcPr>
          <w:p>
            <w:pPr>
              <w:spacing w:after="0"/>
            </w:pPr>
            <w:r>
              <w:rPr>
                <w:sz w:val="18"/>
              </w:rPr>
              <w:t xml:space="preserve">  log(SurfaceDensity)</w:t>
            </w:r>
          </w:p>
        </w:tc>
        <w:tc>
          <w:tcPr>
            <w:tcW w:type="dxa" w:w="1020"/>
            <w:shd w:val="clear" w:color="auto" w:fill="EBF3FA"/>
          </w:tcPr>
          <w:p>
            <w:pPr>
              <w:spacing w:after="0"/>
            </w:pPr>
            <w:r>
              <w:rPr>
                <w:sz w:val="18"/>
              </w:rPr>
              <w:t>+0.147</w:t>
            </w:r>
          </w:p>
        </w:tc>
        <w:tc>
          <w:tcPr>
            <w:tcW w:type="dxa" w:w="1020"/>
            <w:shd w:val="clear" w:color="auto" w:fill="EBF3FA"/>
          </w:tcPr>
          <w:p>
            <w:pPr>
              <w:spacing w:after="0"/>
            </w:pPr>
            <w:r>
              <w:rPr>
                <w:sz w:val="18"/>
              </w:rPr>
              <w:t>0.023</w:t>
            </w:r>
          </w:p>
        </w:tc>
        <w:tc>
          <w:tcPr>
            <w:tcW w:type="dxa" w:w="1134"/>
            <w:shd w:val="clear" w:color="auto" w:fill="EBF3FA"/>
          </w:tcPr>
          <w:p>
            <w:pPr>
              <w:spacing w:after="0"/>
            </w:pPr>
            <w:r>
              <w:rPr>
                <w:sz w:val="18"/>
              </w:rPr>
              <w:t>+0.044</w:t>
            </w:r>
          </w:p>
        </w:tc>
        <w:tc>
          <w:tcPr>
            <w:tcW w:type="dxa" w:w="1134"/>
            <w:shd w:val="clear" w:color="auto" w:fill="EBF3FA"/>
          </w:tcPr>
          <w:p>
            <w:pPr>
              <w:spacing w:after="0"/>
            </w:pPr>
            <w:r>
              <w:rPr>
                <w:sz w:val="18"/>
              </w:rPr>
              <w:t>0.492</w:t>
            </w:r>
          </w:p>
        </w:tc>
        <w:tc>
          <w:tcPr>
            <w:tcW w:type="dxa" w:w="794"/>
            <w:shd w:val="clear" w:color="auto" w:fill="EBF3FA"/>
          </w:tcPr>
          <w:p>
            <w:pPr>
              <w:spacing w:after="0"/>
            </w:pPr>
            <w:r>
              <w:rPr>
                <w:sz w:val="18"/>
              </w:rPr>
              <w:t>No</w:t>
            </w:r>
          </w:p>
        </w:tc>
      </w:tr>
      <w:tr>
        <w:tc>
          <w:tcPr>
            <w:tcW w:type="dxa" w:w="2721"/>
            <w:shd w:val="clear" w:color="auto" w:fill="FFFFFF"/>
          </w:tcPr>
          <w:p>
            <w:pPr>
              <w:spacing w:after="0"/>
            </w:pPr>
            <w:r>
              <w:rPr>
                <w:sz w:val="18"/>
              </w:rPr>
              <w:t xml:space="preserve">  log(AGEDenPar)</w:t>
            </w:r>
          </w:p>
        </w:tc>
        <w:tc>
          <w:tcPr>
            <w:tcW w:type="dxa" w:w="1020"/>
            <w:shd w:val="clear" w:color="auto" w:fill="FFFFFF"/>
          </w:tcPr>
          <w:p>
            <w:pPr>
              <w:spacing w:after="0"/>
            </w:pPr>
            <w:r>
              <w:rPr>
                <w:sz w:val="18"/>
              </w:rPr>
              <w:t>+0.037</w:t>
            </w:r>
          </w:p>
        </w:tc>
        <w:tc>
          <w:tcPr>
            <w:tcW w:type="dxa" w:w="1020"/>
            <w:shd w:val="clear" w:color="auto" w:fill="FFFFFF"/>
          </w:tcPr>
          <w:p>
            <w:pPr>
              <w:spacing w:after="0"/>
            </w:pPr>
            <w:r>
              <w:rPr>
                <w:sz w:val="18"/>
              </w:rPr>
              <w:t>0.572</w:t>
            </w:r>
          </w:p>
        </w:tc>
        <w:tc>
          <w:tcPr>
            <w:tcW w:type="dxa" w:w="1134"/>
            <w:shd w:val="clear" w:color="auto" w:fill="FFFFFF"/>
          </w:tcPr>
          <w:p>
            <w:pPr>
              <w:spacing w:after="0"/>
            </w:pPr>
            <w:r>
              <w:rPr>
                <w:sz w:val="18"/>
              </w:rPr>
              <w:t>−0.016</w:t>
            </w:r>
          </w:p>
        </w:tc>
        <w:tc>
          <w:tcPr>
            <w:tcW w:type="dxa" w:w="1134"/>
            <w:shd w:val="clear" w:color="auto" w:fill="FFFFFF"/>
          </w:tcPr>
          <w:p>
            <w:pPr>
              <w:spacing w:after="0"/>
            </w:pPr>
            <w:r>
              <w:rPr>
                <w:sz w:val="18"/>
              </w:rPr>
              <w:t>0.808</w:t>
            </w:r>
          </w:p>
        </w:tc>
        <w:tc>
          <w:tcPr>
            <w:tcW w:type="dxa" w:w="794"/>
            <w:shd w:val="clear" w:color="auto" w:fill="FFFFFF"/>
          </w:tcPr>
          <w:p>
            <w:pPr>
              <w:spacing w:after="0"/>
            </w:pPr>
            <w:r>
              <w:rPr>
                <w:sz w:val="18"/>
              </w:rPr>
              <w:t>No</w:t>
            </w:r>
          </w:p>
        </w:tc>
      </w:tr>
    </w:tbl>
    <w:p>
      <w:pPr>
        <w:spacing w:after="120" w:before="40"/>
      </w:pPr>
      <w:r>
        <w:rPr>
          <w:i/>
          <w:color w:val="606060"/>
          <w:sz w:val="17"/>
        </w:rPr>
        <w:t>All partial correlations are statistically indistinguishable from zero (p &gt; 0.3).</w:t>
      </w:r>
    </w:p>
    <w:p>
      <w:pPr>
        <w:spacing w:after="40"/>
      </w:pPr>
    </w:p>
    <w:p>
      <w:pPr>
        <w:pStyle w:val="Heading2"/>
      </w:pPr>
      <w:r>
        <w:rPr>
          <w:color w:val="2E74B5"/>
          <w:sz w:val="22"/>
        </w:rPr>
        <w:t>4.2 Independent Environment Signal for the Full Population</w:t>
      </w:r>
    </w:p>
    <w:p>
      <w:pPr>
        <w:spacing w:after="80"/>
      </w:pPr>
      <w:r>
        <w:t>For all galaxy types (N = 22,531 individuals; 5,775 groups), raw correlations are r = 0.18–0.25 and remain significant after halo control (partial r = 0.10–0.16, all p &lt; 10⁻⁵⁵). Approximately 41–55% of the raw signal survives, indicating a secondary pathway independent of halo mass — plausibly morphology-driven.</w:t>
      </w:r>
    </w:p>
    <w:p>
      <w:pPr>
        <w:spacing w:after="40"/>
      </w:pPr>
      <w:r>
        <w:rPr>
          <w:b/>
          <w:color w:val="1F497D"/>
          <w:sz w:val="20"/>
        </w:rPr>
        <w:t>Table 2. Partial correlation — full population, controlling for log(MassA)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948"/>
            <w:shd w:val="clear" w:color="auto" w:fill="1F497D"/>
          </w:tcPr>
          <w:p>
            <w:pPr>
              <w:spacing w:after="0"/>
            </w:pPr>
            <w:r>
              <w:rPr>
                <w:b/>
                <w:color w:val="FFFFFF"/>
                <w:sz w:val="18"/>
              </w:rPr>
            </w:r>
          </w:p>
        </w:tc>
        <w:tc>
          <w:tcPr>
            <w:tcW w:type="dxa" w:w="1020"/>
            <w:shd w:val="clear" w:color="auto" w:fill="1F497D"/>
          </w:tcPr>
          <w:p>
            <w:pPr>
              <w:spacing w:after="0"/>
            </w:pPr>
            <w:r>
              <w:rPr>
                <w:b/>
                <w:color w:val="FFFFFF"/>
                <w:sz w:val="18"/>
              </w:rPr>
              <w:t>Raw r</w:t>
            </w:r>
          </w:p>
        </w:tc>
        <w:tc>
          <w:tcPr>
            <w:tcW w:type="dxa" w:w="1134"/>
            <w:shd w:val="clear" w:color="auto" w:fill="1F497D"/>
          </w:tcPr>
          <w:p>
            <w:pPr>
              <w:spacing w:after="0"/>
            </w:pPr>
            <w:r>
              <w:rPr>
                <w:b/>
                <w:color w:val="FFFFFF"/>
                <w:sz w:val="18"/>
              </w:rPr>
              <w:t>Raw p</w:t>
            </w:r>
          </w:p>
        </w:tc>
        <w:tc>
          <w:tcPr>
            <w:tcW w:type="dxa" w:w="1134"/>
            <w:shd w:val="clear" w:color="auto" w:fill="1F497D"/>
          </w:tcPr>
          <w:p>
            <w:pPr>
              <w:spacing w:after="0"/>
            </w:pPr>
            <w:r>
              <w:rPr>
                <w:b/>
                <w:color w:val="FFFFFF"/>
                <w:sz w:val="18"/>
              </w:rPr>
              <w:t>Partial r</w:t>
            </w:r>
          </w:p>
        </w:tc>
        <w:tc>
          <w:tcPr>
            <w:tcW w:type="dxa" w:w="1134"/>
            <w:shd w:val="clear" w:color="auto" w:fill="1F497D"/>
          </w:tcPr>
          <w:p>
            <w:pPr>
              <w:spacing w:after="0"/>
            </w:pPr>
            <w:r>
              <w:rPr>
                <w:b/>
                <w:color w:val="FFFFFF"/>
                <w:sz w:val="18"/>
              </w:rPr>
              <w:t>Partial p</w:t>
            </w:r>
          </w:p>
        </w:tc>
        <w:tc>
          <w:tcPr>
            <w:tcW w:type="dxa" w:w="1020"/>
            <w:shd w:val="clear" w:color="auto" w:fill="1F497D"/>
          </w:tcPr>
          <w:p>
            <w:pPr>
              <w:spacing w:after="0"/>
            </w:pPr>
            <w:r>
              <w:rPr>
                <w:b/>
                <w:color w:val="FFFFFF"/>
                <w:sz w:val="18"/>
              </w:rPr>
              <w:t>% retained</w:t>
            </w:r>
          </w:p>
        </w:tc>
      </w:tr>
      <w:tr>
        <w:tc>
          <w:tcPr>
            <w:tcW w:type="dxa" w:w="2948"/>
            <w:shd w:val="clear" w:color="auto" w:fill="EBF3FA"/>
          </w:tcPr>
          <w:p>
            <w:pPr>
              <w:spacing w:after="0"/>
            </w:pPr>
            <w:r>
              <w:rPr>
                <w:sz w:val="18"/>
              </w:rPr>
              <w:t>Individual level  (N = 22,531)</w:t>
            </w:r>
          </w:p>
        </w:tc>
        <w:tc>
          <w:tcPr>
            <w:tcW w:type="dxa" w:w="1020"/>
            <w:shd w:val="clear" w:color="auto" w:fill="EBF3FA"/>
          </w:tcPr>
          <w:p>
            <w:pPr>
              <w:spacing w:after="0"/>
            </w:pPr>
            <w:r>
              <w:rPr>
                <w:sz w:val="18"/>
              </w:rPr>
            </w:r>
          </w:p>
        </w:tc>
        <w:tc>
          <w:tcPr>
            <w:tcW w:type="dxa" w:w="1134"/>
            <w:shd w:val="clear" w:color="auto" w:fill="EBF3FA"/>
          </w:tcPr>
          <w:p>
            <w:pPr>
              <w:spacing w:after="0"/>
            </w:pPr>
            <w:r>
              <w:rPr>
                <w:sz w:val="18"/>
              </w:rPr>
            </w:r>
          </w:p>
        </w:tc>
        <w:tc>
          <w:tcPr>
            <w:tcW w:type="dxa" w:w="1134"/>
            <w:shd w:val="clear" w:color="auto" w:fill="EBF3FA"/>
          </w:tcPr>
          <w:p>
            <w:pPr>
              <w:spacing w:after="0"/>
            </w:pPr>
            <w:r>
              <w:rPr>
                <w:sz w:val="18"/>
              </w:rPr>
            </w:r>
          </w:p>
        </w:tc>
        <w:tc>
          <w:tcPr>
            <w:tcW w:type="dxa" w:w="1134"/>
            <w:shd w:val="clear" w:color="auto" w:fill="EBF3FA"/>
          </w:tcPr>
          <w:p>
            <w:pPr>
              <w:spacing w:after="0"/>
            </w:pPr>
            <w:r>
              <w:rPr>
                <w:sz w:val="18"/>
              </w:rPr>
            </w:r>
          </w:p>
        </w:tc>
        <w:tc>
          <w:tcPr>
            <w:tcW w:type="dxa" w:w="1020"/>
            <w:shd w:val="clear" w:color="auto" w:fill="EBF3FA"/>
          </w:tcPr>
          <w:p>
            <w:pPr>
              <w:spacing w:after="0"/>
            </w:pPr>
            <w:r>
              <w:rPr>
                <w:sz w:val="18"/>
              </w:rPr>
            </w:r>
          </w:p>
        </w:tc>
      </w:tr>
      <w:tr>
        <w:tc>
          <w:tcPr>
            <w:tcW w:type="dxa" w:w="2948"/>
            <w:shd w:val="clear" w:color="auto" w:fill="FFFFFF"/>
          </w:tcPr>
          <w:p>
            <w:pPr>
              <w:spacing w:after="0"/>
            </w:pPr>
            <w:r>
              <w:rPr>
                <w:sz w:val="18"/>
              </w:rPr>
              <w:t xml:space="preserve">  log(CountInCyl)</w:t>
            </w:r>
          </w:p>
        </w:tc>
        <w:tc>
          <w:tcPr>
            <w:tcW w:type="dxa" w:w="1020"/>
            <w:shd w:val="clear" w:color="auto" w:fill="FFFFFF"/>
          </w:tcPr>
          <w:p>
            <w:pPr>
              <w:spacing w:after="0"/>
            </w:pPr>
            <w:r>
              <w:rPr>
                <w:sz w:val="18"/>
              </w:rPr>
              <w:t>+0.240</w:t>
            </w:r>
          </w:p>
        </w:tc>
        <w:tc>
          <w:tcPr>
            <w:tcW w:type="dxa" w:w="1134"/>
            <w:shd w:val="clear" w:color="auto" w:fill="FFFFFF"/>
          </w:tcPr>
          <w:p>
            <w:pPr>
              <w:spacing w:after="0"/>
            </w:pPr>
            <w:r>
              <w:rPr>
                <w:sz w:val="18"/>
              </w:rPr>
              <w:t>8×10⁻²⁹²</w:t>
            </w:r>
          </w:p>
        </w:tc>
        <w:tc>
          <w:tcPr>
            <w:tcW w:type="dxa" w:w="1134"/>
            <w:shd w:val="clear" w:color="auto" w:fill="FFFFFF"/>
          </w:tcPr>
          <w:p>
            <w:pPr>
              <w:spacing w:after="0"/>
            </w:pPr>
            <w:r>
              <w:rPr>
                <w:sz w:val="18"/>
              </w:rPr>
              <w:t>+0.109</w:t>
            </w:r>
          </w:p>
        </w:tc>
        <w:tc>
          <w:tcPr>
            <w:tcW w:type="dxa" w:w="1134"/>
            <w:shd w:val="clear" w:color="auto" w:fill="FFFFFF"/>
          </w:tcPr>
          <w:p>
            <w:pPr>
              <w:spacing w:after="0"/>
            </w:pPr>
            <w:r>
              <w:rPr>
                <w:sz w:val="18"/>
              </w:rPr>
              <w:t>7×10⁻⁶¹</w:t>
            </w:r>
          </w:p>
        </w:tc>
        <w:tc>
          <w:tcPr>
            <w:tcW w:type="dxa" w:w="1020"/>
            <w:shd w:val="clear" w:color="auto" w:fill="FFFFFF"/>
          </w:tcPr>
          <w:p>
            <w:pPr>
              <w:spacing w:after="0"/>
            </w:pPr>
            <w:r>
              <w:rPr>
                <w:sz w:val="18"/>
              </w:rPr>
              <w:t>45.6%</w:t>
            </w:r>
          </w:p>
        </w:tc>
      </w:tr>
      <w:tr>
        <w:tc>
          <w:tcPr>
            <w:tcW w:type="dxa" w:w="2948"/>
            <w:shd w:val="clear" w:color="auto" w:fill="EBF3FA"/>
          </w:tcPr>
          <w:p>
            <w:pPr>
              <w:spacing w:after="0"/>
            </w:pPr>
            <w:r>
              <w:rPr>
                <w:sz w:val="18"/>
              </w:rPr>
              <w:t xml:space="preserve">  log(DistanceTo5nn)</w:t>
            </w:r>
          </w:p>
        </w:tc>
        <w:tc>
          <w:tcPr>
            <w:tcW w:type="dxa" w:w="1020"/>
            <w:shd w:val="clear" w:color="auto" w:fill="EBF3FA"/>
          </w:tcPr>
          <w:p>
            <w:pPr>
              <w:spacing w:after="0"/>
            </w:pPr>
            <w:r>
              <w:rPr>
                <w:sz w:val="18"/>
              </w:rPr>
              <w:t>−0.245</w:t>
            </w:r>
          </w:p>
        </w:tc>
        <w:tc>
          <w:tcPr>
            <w:tcW w:type="dxa" w:w="1134"/>
            <w:shd w:val="clear" w:color="auto" w:fill="EBF3FA"/>
          </w:tcPr>
          <w:p>
            <w:pPr>
              <w:spacing w:after="0"/>
            </w:pPr>
            <w:r>
              <w:rPr>
                <w:sz w:val="18"/>
              </w:rPr>
              <w:t>3×10⁻³⁰⁴</w:t>
            </w:r>
          </w:p>
        </w:tc>
        <w:tc>
          <w:tcPr>
            <w:tcW w:type="dxa" w:w="1134"/>
            <w:shd w:val="clear" w:color="auto" w:fill="EBF3FA"/>
          </w:tcPr>
          <w:p>
            <w:pPr>
              <w:spacing w:after="0"/>
            </w:pPr>
            <w:r>
              <w:rPr>
                <w:sz w:val="18"/>
              </w:rPr>
              <w:t>−0.124</w:t>
            </w:r>
          </w:p>
        </w:tc>
        <w:tc>
          <w:tcPr>
            <w:tcW w:type="dxa" w:w="1134"/>
            <w:shd w:val="clear" w:color="auto" w:fill="EBF3FA"/>
          </w:tcPr>
          <w:p>
            <w:pPr>
              <w:spacing w:after="0"/>
            </w:pPr>
            <w:r>
              <w:rPr>
                <w:sz w:val="18"/>
              </w:rPr>
              <w:t>4×10⁻⁷⁸</w:t>
            </w:r>
          </w:p>
        </w:tc>
        <w:tc>
          <w:tcPr>
            <w:tcW w:type="dxa" w:w="1020"/>
            <w:shd w:val="clear" w:color="auto" w:fill="EBF3FA"/>
          </w:tcPr>
          <w:p>
            <w:pPr>
              <w:spacing w:after="0"/>
            </w:pPr>
            <w:r>
              <w:rPr>
                <w:sz w:val="18"/>
              </w:rPr>
              <w:t>50.8%</w:t>
            </w:r>
          </w:p>
        </w:tc>
      </w:tr>
      <w:tr>
        <w:tc>
          <w:tcPr>
            <w:tcW w:type="dxa" w:w="2948"/>
            <w:shd w:val="clear" w:color="auto" w:fill="FFFFFF"/>
          </w:tcPr>
          <w:p>
            <w:pPr>
              <w:spacing w:after="0"/>
            </w:pPr>
            <w:r>
              <w:rPr>
                <w:sz w:val="18"/>
              </w:rPr>
              <w:t xml:space="preserve">  log(SurfaceDensity)</w:t>
            </w:r>
          </w:p>
        </w:tc>
        <w:tc>
          <w:tcPr>
            <w:tcW w:type="dxa" w:w="1020"/>
            <w:shd w:val="clear" w:color="auto" w:fill="FFFFFF"/>
          </w:tcPr>
          <w:p>
            <w:pPr>
              <w:spacing w:after="0"/>
            </w:pPr>
            <w:r>
              <w:rPr>
                <w:sz w:val="18"/>
              </w:rPr>
              <w:t>+0.245</w:t>
            </w:r>
          </w:p>
        </w:tc>
        <w:tc>
          <w:tcPr>
            <w:tcW w:type="dxa" w:w="1134"/>
            <w:shd w:val="clear" w:color="auto" w:fill="FFFFFF"/>
          </w:tcPr>
          <w:p>
            <w:pPr>
              <w:spacing w:after="0"/>
            </w:pPr>
            <w:r>
              <w:rPr>
                <w:sz w:val="18"/>
              </w:rPr>
              <w:t>1×10⁻³⁰⁴</w:t>
            </w:r>
          </w:p>
        </w:tc>
        <w:tc>
          <w:tcPr>
            <w:tcW w:type="dxa" w:w="1134"/>
            <w:shd w:val="clear" w:color="auto" w:fill="FFFFFF"/>
          </w:tcPr>
          <w:p>
            <w:pPr>
              <w:spacing w:after="0"/>
            </w:pPr>
            <w:r>
              <w:rPr>
                <w:sz w:val="18"/>
              </w:rPr>
              <w:t>+0.124</w:t>
            </w:r>
          </w:p>
        </w:tc>
        <w:tc>
          <w:tcPr>
            <w:tcW w:type="dxa" w:w="1134"/>
            <w:shd w:val="clear" w:color="auto" w:fill="FFFFFF"/>
          </w:tcPr>
          <w:p>
            <w:pPr>
              <w:spacing w:after="0"/>
            </w:pPr>
            <w:r>
              <w:rPr>
                <w:sz w:val="18"/>
              </w:rPr>
              <w:t>3×10⁻⁷⁸</w:t>
            </w:r>
          </w:p>
        </w:tc>
        <w:tc>
          <w:tcPr>
            <w:tcW w:type="dxa" w:w="1020"/>
            <w:shd w:val="clear" w:color="auto" w:fill="FFFFFF"/>
          </w:tcPr>
          <w:p>
            <w:pPr>
              <w:spacing w:after="0"/>
            </w:pPr>
            <w:r>
              <w:rPr>
                <w:sz w:val="18"/>
              </w:rPr>
              <w:t>50.8%</w:t>
            </w:r>
          </w:p>
        </w:tc>
      </w:tr>
      <w:tr>
        <w:tc>
          <w:tcPr>
            <w:tcW w:type="dxa" w:w="2948"/>
            <w:shd w:val="clear" w:color="auto" w:fill="EBF3FA"/>
          </w:tcPr>
          <w:p>
            <w:pPr>
              <w:spacing w:after="0"/>
            </w:pPr>
            <w:r>
              <w:rPr>
                <w:sz w:val="18"/>
              </w:rPr>
              <w:t xml:space="preserve">  log(AGEDenPar)</w:t>
            </w:r>
          </w:p>
        </w:tc>
        <w:tc>
          <w:tcPr>
            <w:tcW w:type="dxa" w:w="1020"/>
            <w:shd w:val="clear" w:color="auto" w:fill="EBF3FA"/>
          </w:tcPr>
          <w:p>
            <w:pPr>
              <w:spacing w:after="0"/>
            </w:pPr>
            <w:r>
              <w:rPr>
                <w:sz w:val="18"/>
              </w:rPr>
              <w:t>+0.178</w:t>
            </w:r>
          </w:p>
        </w:tc>
        <w:tc>
          <w:tcPr>
            <w:tcW w:type="dxa" w:w="1134"/>
            <w:shd w:val="clear" w:color="auto" w:fill="EBF3FA"/>
          </w:tcPr>
          <w:p>
            <w:pPr>
              <w:spacing w:after="0"/>
            </w:pPr>
            <w:r>
              <w:rPr>
                <w:sz w:val="18"/>
              </w:rPr>
              <w:t>2×10⁻¹⁶⁰</w:t>
            </w:r>
          </w:p>
        </w:tc>
        <w:tc>
          <w:tcPr>
            <w:tcW w:type="dxa" w:w="1134"/>
            <w:shd w:val="clear" w:color="auto" w:fill="EBF3FA"/>
          </w:tcPr>
          <w:p>
            <w:pPr>
              <w:spacing w:after="0"/>
            </w:pPr>
            <w:r>
              <w:rPr>
                <w:sz w:val="18"/>
              </w:rPr>
              <w:t>+0.104</w:t>
            </w:r>
          </w:p>
        </w:tc>
        <w:tc>
          <w:tcPr>
            <w:tcW w:type="dxa" w:w="1134"/>
            <w:shd w:val="clear" w:color="auto" w:fill="EBF3FA"/>
          </w:tcPr>
          <w:p>
            <w:pPr>
              <w:spacing w:after="0"/>
            </w:pPr>
            <w:r>
              <w:rPr>
                <w:sz w:val="18"/>
              </w:rPr>
              <w:t>2×10⁻⁵⁵</w:t>
            </w:r>
          </w:p>
        </w:tc>
        <w:tc>
          <w:tcPr>
            <w:tcW w:type="dxa" w:w="1020"/>
            <w:shd w:val="clear" w:color="auto" w:fill="EBF3FA"/>
          </w:tcPr>
          <w:p>
            <w:pPr>
              <w:spacing w:after="0"/>
            </w:pPr>
            <w:r>
              <w:rPr>
                <w:sz w:val="18"/>
              </w:rPr>
              <w:t>58.4%</w:t>
            </w:r>
          </w:p>
        </w:tc>
      </w:tr>
      <w:tr>
        <w:tc>
          <w:tcPr>
            <w:tcW w:type="dxa" w:w="2948"/>
            <w:shd w:val="clear" w:color="auto" w:fill="FFFFFF"/>
          </w:tcPr>
          <w:p>
            <w:pPr>
              <w:spacing w:after="0"/>
            </w:pPr>
            <w:r>
              <w:rPr>
                <w:sz w:val="18"/>
              </w:rPr>
              <w:t>Group level mean u−r  (N = 5,775 groups)</w:t>
            </w:r>
          </w:p>
        </w:tc>
        <w:tc>
          <w:tcPr>
            <w:tcW w:type="dxa" w:w="1020"/>
            <w:shd w:val="clear" w:color="auto" w:fill="FFFFFF"/>
          </w:tcPr>
          <w:p>
            <w:pPr>
              <w:spacing w:after="0"/>
            </w:pPr>
            <w:r>
              <w:rPr>
                <w:sz w:val="18"/>
              </w:rPr>
            </w:r>
          </w:p>
        </w:tc>
        <w:tc>
          <w:tcPr>
            <w:tcW w:type="dxa" w:w="1134"/>
            <w:shd w:val="clear" w:color="auto" w:fill="FFFFFF"/>
          </w:tcPr>
          <w:p>
            <w:pPr>
              <w:spacing w:after="0"/>
            </w:pPr>
            <w:r>
              <w:rPr>
                <w:sz w:val="18"/>
              </w:rPr>
            </w:r>
          </w:p>
        </w:tc>
        <w:tc>
          <w:tcPr>
            <w:tcW w:type="dxa" w:w="1134"/>
            <w:shd w:val="clear" w:color="auto" w:fill="FFFFFF"/>
          </w:tcPr>
          <w:p>
            <w:pPr>
              <w:spacing w:after="0"/>
            </w:pPr>
            <w:r>
              <w:rPr>
                <w:sz w:val="18"/>
              </w:rPr>
            </w:r>
          </w:p>
        </w:tc>
        <w:tc>
          <w:tcPr>
            <w:tcW w:type="dxa" w:w="1134"/>
            <w:shd w:val="clear" w:color="auto" w:fill="FFFFFF"/>
          </w:tcPr>
          <w:p>
            <w:pPr>
              <w:spacing w:after="0"/>
            </w:pPr>
            <w:r>
              <w:rPr>
                <w:sz w:val="18"/>
              </w:rPr>
            </w:r>
          </w:p>
        </w:tc>
        <w:tc>
          <w:tcPr>
            <w:tcW w:type="dxa" w:w="1020"/>
            <w:shd w:val="clear" w:color="auto" w:fill="FFFFFF"/>
          </w:tcPr>
          <w:p>
            <w:pPr>
              <w:spacing w:after="0"/>
            </w:pPr>
            <w:r>
              <w:rPr>
                <w:sz w:val="18"/>
              </w:rPr>
            </w:r>
          </w:p>
        </w:tc>
      </w:tr>
      <w:tr>
        <w:tc>
          <w:tcPr>
            <w:tcW w:type="dxa" w:w="2948"/>
            <w:shd w:val="clear" w:color="auto" w:fill="EBF3FA"/>
          </w:tcPr>
          <w:p>
            <w:pPr>
              <w:spacing w:after="0"/>
            </w:pPr>
            <w:r>
              <w:rPr>
                <w:sz w:val="18"/>
              </w:rPr>
              <w:t xml:space="preserve">  log(CountInCyl)</w:t>
            </w:r>
          </w:p>
        </w:tc>
        <w:tc>
          <w:tcPr>
            <w:tcW w:type="dxa" w:w="1020"/>
            <w:shd w:val="clear" w:color="auto" w:fill="EBF3FA"/>
          </w:tcPr>
          <w:p>
            <w:pPr>
              <w:spacing w:after="0"/>
            </w:pPr>
            <w:r>
              <w:rPr>
                <w:sz w:val="18"/>
              </w:rPr>
              <w:t>+0.234</w:t>
            </w:r>
          </w:p>
        </w:tc>
        <w:tc>
          <w:tcPr>
            <w:tcW w:type="dxa" w:w="1134"/>
            <w:shd w:val="clear" w:color="auto" w:fill="EBF3FA"/>
          </w:tcPr>
          <w:p>
            <w:pPr>
              <w:spacing w:after="0"/>
            </w:pPr>
            <w:r>
              <w:rPr>
                <w:sz w:val="18"/>
              </w:rPr>
              <w:t>&lt;10⁻³⁰⁰</w:t>
            </w:r>
          </w:p>
        </w:tc>
        <w:tc>
          <w:tcPr>
            <w:tcW w:type="dxa" w:w="1134"/>
            <w:shd w:val="clear" w:color="auto" w:fill="EBF3FA"/>
          </w:tcPr>
          <w:p>
            <w:pPr>
              <w:spacing w:after="0"/>
            </w:pPr>
            <w:r>
              <w:rPr>
                <w:sz w:val="18"/>
              </w:rPr>
              <w:t>+0.160</w:t>
            </w:r>
          </w:p>
        </w:tc>
        <w:tc>
          <w:tcPr>
            <w:tcW w:type="dxa" w:w="1134"/>
            <w:shd w:val="clear" w:color="auto" w:fill="EBF3FA"/>
          </w:tcPr>
          <w:p>
            <w:pPr>
              <w:spacing w:after="0"/>
            </w:pPr>
            <w:r>
              <w:rPr>
                <w:sz w:val="18"/>
              </w:rPr>
              <w:t>&lt;10⁻³⁰⁰</w:t>
            </w:r>
          </w:p>
        </w:tc>
        <w:tc>
          <w:tcPr>
            <w:tcW w:type="dxa" w:w="1020"/>
            <w:shd w:val="clear" w:color="auto" w:fill="EBF3FA"/>
          </w:tcPr>
          <w:p>
            <w:pPr>
              <w:spacing w:after="0"/>
            </w:pPr>
            <w:r>
              <w:rPr>
                <w:sz w:val="18"/>
              </w:rPr>
              <w:t>68.4%</w:t>
            </w:r>
          </w:p>
        </w:tc>
      </w:tr>
      <w:tr>
        <w:tc>
          <w:tcPr>
            <w:tcW w:type="dxa" w:w="2948"/>
            <w:shd w:val="clear" w:color="auto" w:fill="FFFFFF"/>
          </w:tcPr>
          <w:p>
            <w:pPr>
              <w:spacing w:after="0"/>
            </w:pPr>
            <w:r>
              <w:rPr>
                <w:sz w:val="18"/>
              </w:rPr>
              <w:t xml:space="preserve">  log(DistanceTo5nn)</w:t>
            </w:r>
          </w:p>
        </w:tc>
        <w:tc>
          <w:tcPr>
            <w:tcW w:type="dxa" w:w="1020"/>
            <w:shd w:val="clear" w:color="auto" w:fill="FFFFFF"/>
          </w:tcPr>
          <w:p>
            <w:pPr>
              <w:spacing w:after="0"/>
            </w:pPr>
            <w:r>
              <w:rPr>
                <w:sz w:val="18"/>
              </w:rPr>
              <w:t>−0.228</w:t>
            </w:r>
          </w:p>
        </w:tc>
        <w:tc>
          <w:tcPr>
            <w:tcW w:type="dxa" w:w="1134"/>
            <w:shd w:val="clear" w:color="auto" w:fill="FFFFFF"/>
          </w:tcPr>
          <w:p>
            <w:pPr>
              <w:spacing w:after="0"/>
            </w:pPr>
            <w:r>
              <w:rPr>
                <w:sz w:val="18"/>
              </w:rPr>
              <w:t>&lt;10⁻³⁰⁰</w:t>
            </w:r>
          </w:p>
        </w:tc>
        <w:tc>
          <w:tcPr>
            <w:tcW w:type="dxa" w:w="1134"/>
            <w:shd w:val="clear" w:color="auto" w:fill="FFFFFF"/>
          </w:tcPr>
          <w:p>
            <w:pPr>
              <w:spacing w:after="0"/>
            </w:pPr>
            <w:r>
              <w:rPr>
                <w:sz w:val="18"/>
              </w:rPr>
              <w:t>−0.153</w:t>
            </w:r>
          </w:p>
        </w:tc>
        <w:tc>
          <w:tcPr>
            <w:tcW w:type="dxa" w:w="1134"/>
            <w:shd w:val="clear" w:color="auto" w:fill="FFFFFF"/>
          </w:tcPr>
          <w:p>
            <w:pPr>
              <w:spacing w:after="0"/>
            </w:pPr>
            <w:r>
              <w:rPr>
                <w:sz w:val="18"/>
              </w:rPr>
              <w:t>&lt;10⁻³⁰⁰</w:t>
            </w:r>
          </w:p>
        </w:tc>
        <w:tc>
          <w:tcPr>
            <w:tcW w:type="dxa" w:w="1020"/>
            <w:shd w:val="clear" w:color="auto" w:fill="FFFFFF"/>
          </w:tcPr>
          <w:p>
            <w:pPr>
              <w:spacing w:after="0"/>
            </w:pPr>
            <w:r>
              <w:rPr>
                <w:sz w:val="18"/>
              </w:rPr>
              <w:t>67.1%</w:t>
            </w:r>
          </w:p>
        </w:tc>
      </w:tr>
      <w:tr>
        <w:tc>
          <w:tcPr>
            <w:tcW w:type="dxa" w:w="2948"/>
            <w:shd w:val="clear" w:color="auto" w:fill="EBF3FA"/>
          </w:tcPr>
          <w:p>
            <w:pPr>
              <w:spacing w:after="0"/>
            </w:pPr>
            <w:r>
              <w:rPr>
                <w:sz w:val="18"/>
              </w:rPr>
              <w:t xml:space="preserve">  log(SurfaceDensity)</w:t>
            </w:r>
          </w:p>
        </w:tc>
        <w:tc>
          <w:tcPr>
            <w:tcW w:type="dxa" w:w="1020"/>
            <w:shd w:val="clear" w:color="auto" w:fill="EBF3FA"/>
          </w:tcPr>
          <w:p>
            <w:pPr>
              <w:spacing w:after="0"/>
            </w:pPr>
            <w:r>
              <w:rPr>
                <w:sz w:val="18"/>
              </w:rPr>
              <w:t>+0.228</w:t>
            </w:r>
          </w:p>
        </w:tc>
        <w:tc>
          <w:tcPr>
            <w:tcW w:type="dxa" w:w="1134"/>
            <w:shd w:val="clear" w:color="auto" w:fill="EBF3FA"/>
          </w:tcPr>
          <w:p>
            <w:pPr>
              <w:spacing w:after="0"/>
            </w:pPr>
            <w:r>
              <w:rPr>
                <w:sz w:val="18"/>
              </w:rPr>
              <w:t>&lt;10⁻³⁰⁰</w:t>
            </w:r>
          </w:p>
        </w:tc>
        <w:tc>
          <w:tcPr>
            <w:tcW w:type="dxa" w:w="1134"/>
            <w:shd w:val="clear" w:color="auto" w:fill="EBF3FA"/>
          </w:tcPr>
          <w:p>
            <w:pPr>
              <w:spacing w:after="0"/>
            </w:pPr>
            <w:r>
              <w:rPr>
                <w:sz w:val="18"/>
              </w:rPr>
              <w:t>+0.153</w:t>
            </w:r>
          </w:p>
        </w:tc>
        <w:tc>
          <w:tcPr>
            <w:tcW w:type="dxa" w:w="1134"/>
            <w:shd w:val="clear" w:color="auto" w:fill="EBF3FA"/>
          </w:tcPr>
          <w:p>
            <w:pPr>
              <w:spacing w:after="0"/>
            </w:pPr>
            <w:r>
              <w:rPr>
                <w:sz w:val="18"/>
              </w:rPr>
              <w:t>&lt;10⁻³⁰⁰</w:t>
            </w:r>
          </w:p>
        </w:tc>
        <w:tc>
          <w:tcPr>
            <w:tcW w:type="dxa" w:w="1020"/>
            <w:shd w:val="clear" w:color="auto" w:fill="EBF3FA"/>
          </w:tcPr>
          <w:p>
            <w:pPr>
              <w:spacing w:after="0"/>
            </w:pPr>
            <w:r>
              <w:rPr>
                <w:sz w:val="18"/>
              </w:rPr>
              <w:t>67.1%</w:t>
            </w:r>
          </w:p>
        </w:tc>
      </w:tr>
      <w:tr>
        <w:tc>
          <w:tcPr>
            <w:tcW w:type="dxa" w:w="2948"/>
            <w:shd w:val="clear" w:color="auto" w:fill="FFFFFF"/>
          </w:tcPr>
          <w:p>
            <w:pPr>
              <w:spacing w:after="0"/>
            </w:pPr>
            <w:r>
              <w:rPr>
                <w:sz w:val="18"/>
              </w:rPr>
              <w:t xml:space="preserve">  log(AGEDenPar)</w:t>
            </w:r>
          </w:p>
        </w:tc>
        <w:tc>
          <w:tcPr>
            <w:tcW w:type="dxa" w:w="1020"/>
            <w:shd w:val="clear" w:color="auto" w:fill="FFFFFF"/>
          </w:tcPr>
          <w:p>
            <w:pPr>
              <w:spacing w:after="0"/>
            </w:pPr>
            <w:r>
              <w:rPr>
                <w:sz w:val="18"/>
              </w:rPr>
              <w:t>+0.154</w:t>
            </w:r>
          </w:p>
        </w:tc>
        <w:tc>
          <w:tcPr>
            <w:tcW w:type="dxa" w:w="1134"/>
            <w:shd w:val="clear" w:color="auto" w:fill="FFFFFF"/>
          </w:tcPr>
          <w:p>
            <w:pPr>
              <w:spacing w:after="0"/>
            </w:pPr>
            <w:r>
              <w:rPr>
                <w:sz w:val="18"/>
              </w:rPr>
              <w:t>&lt;10⁻³⁰⁰</w:t>
            </w:r>
          </w:p>
        </w:tc>
        <w:tc>
          <w:tcPr>
            <w:tcW w:type="dxa" w:w="1134"/>
            <w:shd w:val="clear" w:color="auto" w:fill="FFFFFF"/>
          </w:tcPr>
          <w:p>
            <w:pPr>
              <w:spacing w:after="0"/>
            </w:pPr>
            <w:r>
              <w:rPr>
                <w:sz w:val="18"/>
              </w:rPr>
              <w:t>+0.128</w:t>
            </w:r>
          </w:p>
        </w:tc>
        <w:tc>
          <w:tcPr>
            <w:tcW w:type="dxa" w:w="1134"/>
            <w:shd w:val="clear" w:color="auto" w:fill="FFFFFF"/>
          </w:tcPr>
          <w:p>
            <w:pPr>
              <w:spacing w:after="0"/>
            </w:pPr>
            <w:r>
              <w:rPr>
                <w:sz w:val="18"/>
              </w:rPr>
              <w:t>&lt;10⁻³⁰⁰</w:t>
            </w:r>
          </w:p>
        </w:tc>
        <w:tc>
          <w:tcPr>
            <w:tcW w:type="dxa" w:w="1020"/>
            <w:shd w:val="clear" w:color="auto" w:fill="FFFFFF"/>
          </w:tcPr>
          <w:p>
            <w:pPr>
              <w:spacing w:after="0"/>
            </w:pPr>
            <w:r>
              <w:rPr>
                <w:sz w:val="18"/>
              </w:rPr>
              <w:t>83.1%</w:t>
            </w:r>
          </w:p>
        </w:tc>
      </w:tr>
    </w:tbl>
    <w:p>
      <w:pPr>
        <w:spacing w:after="120" w:before="40"/>
      </w:pPr>
      <w:r>
        <w:rPr>
          <w:i/>
          <w:color w:val="606060"/>
          <w:sz w:val="17"/>
        </w:rPr>
        <w:t>All partial correlations remain significant (p &lt;&lt; 0.05).</w:t>
      </w:r>
    </w:p>
    <w:p>
      <w:pPr>
        <w:spacing w:after="40"/>
      </w:pPr>
    </w:p>
    <w:p>
      <w:pPr>
        <w:pStyle w:val="Heading2"/>
      </w:pPr>
      <w:r>
        <w:rPr>
          <w:color w:val="2E74B5"/>
          <w:sz w:val="22"/>
        </w:rPr>
        <w:t>4.3 Colour Distribution Shape Evolves Monotonically with Redshift</w:t>
      </w:r>
    </w:p>
    <w:p>
      <w:pPr>
        <w:spacing w:after="80"/>
      </w:pPr>
      <w:r>
        <w:t>Table 3 and Figure 1 show Box-Cox λ and skewness against redshift with bootstrap null envelopes. Both parameters lie outside the null at every bin. Skewness shifts from +0.90 at z = 0.026 to −0.82 at z = 0.325 (Spearman r = −1.000, p = 4.0×10⁻⁴). Box-Cox λ increases from −0.20 to +2.70 (Spearman r = +1.000, p = 4.0×10⁻⁴). The sign flip in skewness reflects the progressive consolidation of the red sequence: at high-z the distribution has a growing red tail; by low-z the red sequence is bounded and the tail extends toward residual blue late-quenchers. The transition through λ = 0 near z ≈ 0.08 marks the approximate epoch at which the colour distribution crosses from sub-log-Normal to supra-Normal breadth.</w:t>
      </w:r>
    </w:p>
    <w:p>
      <w:pPr>
        <w:spacing w:after="40"/>
      </w:pPr>
      <w:r>
        <w:rPr>
          <w:b/>
          <w:color w:val="1F497D"/>
          <w:sz w:val="20"/>
        </w:rPr>
        <w:t>Table 3. u−r distribution shape parameters by redshift bin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47"/>
            <w:shd w:val="clear" w:color="auto" w:fill="1F497D"/>
          </w:tcPr>
          <w:p>
            <w:pPr>
              <w:spacing w:after="0"/>
            </w:pPr>
            <w:r>
              <w:rPr>
                <w:b/>
                <w:color w:val="FFFFFF"/>
                <w:sz w:val="18"/>
              </w:rPr>
              <w:t>z centre</w:t>
            </w:r>
          </w:p>
        </w:tc>
        <w:tc>
          <w:tcPr>
            <w:tcW w:type="dxa" w:w="1247"/>
            <w:shd w:val="clear" w:color="auto" w:fill="1F497D"/>
          </w:tcPr>
          <w:p>
            <w:pPr>
              <w:spacing w:after="0"/>
            </w:pPr>
            <w:r>
              <w:rPr>
                <w:b/>
                <w:color w:val="FFFFFF"/>
                <w:sz w:val="18"/>
              </w:rPr>
              <w:t>N</w:t>
            </w:r>
          </w:p>
        </w:tc>
        <w:tc>
          <w:tcPr>
            <w:tcW w:type="dxa" w:w="1417"/>
            <w:shd w:val="clear" w:color="auto" w:fill="1F497D"/>
          </w:tcPr>
          <w:p>
            <w:pPr>
              <w:spacing w:after="0"/>
            </w:pPr>
            <w:r>
              <w:rPr>
                <w:b/>
                <w:color w:val="FFFFFF"/>
                <w:sz w:val="18"/>
              </w:rPr>
              <w:t>Box-Cox λ</w:t>
            </w:r>
          </w:p>
        </w:tc>
        <w:tc>
          <w:tcPr>
            <w:tcW w:type="dxa" w:w="1417"/>
            <w:shd w:val="clear" w:color="auto" w:fill="1F497D"/>
          </w:tcPr>
          <w:p>
            <w:pPr>
              <w:spacing w:after="0"/>
            </w:pPr>
            <w:r>
              <w:rPr>
                <w:b/>
                <w:color w:val="FFFFFF"/>
                <w:sz w:val="18"/>
              </w:rPr>
              <w:t>Skewness</w:t>
            </w:r>
          </w:p>
        </w:tc>
        <w:tc>
          <w:tcPr>
            <w:tcW w:type="dxa" w:w="1417"/>
            <w:shd w:val="clear" w:color="auto" w:fill="1F497D"/>
          </w:tcPr>
          <w:p>
            <w:pPr>
              <w:spacing w:after="0"/>
            </w:pPr>
            <w:r>
              <w:rPr>
                <w:b/>
                <w:color w:val="FFFFFF"/>
                <w:sz w:val="18"/>
              </w:rPr>
              <w:t>Excess kurtosis</w:t>
            </w:r>
          </w:p>
        </w:tc>
      </w:tr>
      <w:tr>
        <w:tc>
          <w:tcPr>
            <w:tcW w:type="dxa" w:w="1247"/>
            <w:shd w:val="clear" w:color="auto" w:fill="EBF3FA"/>
          </w:tcPr>
          <w:p>
            <w:pPr>
              <w:spacing w:after="0"/>
            </w:pPr>
            <w:r>
              <w:rPr>
                <w:sz w:val="18"/>
              </w:rPr>
              <w:t>0.026</w:t>
            </w:r>
          </w:p>
        </w:tc>
        <w:tc>
          <w:tcPr>
            <w:tcW w:type="dxa" w:w="1247"/>
            <w:shd w:val="clear" w:color="auto" w:fill="EBF3FA"/>
          </w:tcPr>
          <w:p>
            <w:pPr>
              <w:spacing w:after="0"/>
            </w:pPr>
            <w:r>
              <w:rPr>
                <w:sz w:val="18"/>
              </w:rPr>
              <w:t>3,932</w:t>
            </w:r>
          </w:p>
        </w:tc>
        <w:tc>
          <w:tcPr>
            <w:tcW w:type="dxa" w:w="1417"/>
            <w:shd w:val="clear" w:color="auto" w:fill="EBF3FA"/>
          </w:tcPr>
          <w:p>
            <w:pPr>
              <w:spacing w:after="0"/>
            </w:pPr>
            <w:r>
              <w:rPr>
                <w:sz w:val="18"/>
              </w:rPr>
              <w:t>−0.200</w:t>
            </w:r>
          </w:p>
        </w:tc>
        <w:tc>
          <w:tcPr>
            <w:tcW w:type="dxa" w:w="1417"/>
            <w:shd w:val="clear" w:color="auto" w:fill="EBF3FA"/>
          </w:tcPr>
          <w:p>
            <w:pPr>
              <w:spacing w:after="0"/>
            </w:pPr>
            <w:r>
              <w:rPr>
                <w:sz w:val="18"/>
              </w:rPr>
              <w:t>+0.899</w:t>
            </w:r>
          </w:p>
        </w:tc>
        <w:tc>
          <w:tcPr>
            <w:tcW w:type="dxa" w:w="1417"/>
            <w:shd w:val="clear" w:color="auto" w:fill="EBF3FA"/>
          </w:tcPr>
          <w:p>
            <w:pPr>
              <w:spacing w:after="0"/>
            </w:pPr>
            <w:r>
              <w:rPr>
                <w:sz w:val="18"/>
              </w:rPr>
              <w:t>+0.824</w:t>
            </w:r>
          </w:p>
        </w:tc>
      </w:tr>
      <w:tr>
        <w:tc>
          <w:tcPr>
            <w:tcW w:type="dxa" w:w="1247"/>
            <w:shd w:val="clear" w:color="auto" w:fill="FFFFFF"/>
          </w:tcPr>
          <w:p>
            <w:pPr>
              <w:spacing w:after="0"/>
            </w:pPr>
            <w:r>
              <w:rPr>
                <w:sz w:val="18"/>
              </w:rPr>
              <w:t>0.075</w:t>
            </w:r>
          </w:p>
        </w:tc>
        <w:tc>
          <w:tcPr>
            <w:tcW w:type="dxa" w:w="1247"/>
            <w:shd w:val="clear" w:color="auto" w:fill="FFFFFF"/>
          </w:tcPr>
          <w:p>
            <w:pPr>
              <w:spacing w:after="0"/>
            </w:pPr>
            <w:r>
              <w:rPr>
                <w:sz w:val="18"/>
              </w:rPr>
              <w:t>16,579</w:t>
            </w:r>
          </w:p>
        </w:tc>
        <w:tc>
          <w:tcPr>
            <w:tcW w:type="dxa" w:w="1417"/>
            <w:shd w:val="clear" w:color="auto" w:fill="FFFFFF"/>
          </w:tcPr>
          <w:p>
            <w:pPr>
              <w:spacing w:after="0"/>
            </w:pPr>
            <w:r>
              <w:rPr>
                <w:sz w:val="18"/>
              </w:rPr>
              <w:t>+0.431</w:t>
            </w:r>
          </w:p>
        </w:tc>
        <w:tc>
          <w:tcPr>
            <w:tcW w:type="dxa" w:w="1417"/>
            <w:shd w:val="clear" w:color="auto" w:fill="FFFFFF"/>
          </w:tcPr>
          <w:p>
            <w:pPr>
              <w:spacing w:after="0"/>
            </w:pPr>
            <w:r>
              <w:rPr>
                <w:sz w:val="18"/>
              </w:rPr>
              <w:t>+0.263</w:t>
            </w:r>
          </w:p>
        </w:tc>
        <w:tc>
          <w:tcPr>
            <w:tcW w:type="dxa" w:w="1417"/>
            <w:shd w:val="clear" w:color="auto" w:fill="FFFFFF"/>
          </w:tcPr>
          <w:p>
            <w:pPr>
              <w:spacing w:after="0"/>
            </w:pPr>
            <w:r>
              <w:rPr>
                <w:sz w:val="18"/>
              </w:rPr>
              <w:t>−0.750</w:t>
            </w:r>
          </w:p>
        </w:tc>
      </w:tr>
      <w:tr>
        <w:tc>
          <w:tcPr>
            <w:tcW w:type="dxa" w:w="1247"/>
            <w:shd w:val="clear" w:color="auto" w:fill="EBF3FA"/>
          </w:tcPr>
          <w:p>
            <w:pPr>
              <w:spacing w:after="0"/>
            </w:pPr>
            <w:r>
              <w:rPr>
                <w:sz w:val="18"/>
              </w:rPr>
              <w:t>0.125</w:t>
            </w:r>
          </w:p>
        </w:tc>
        <w:tc>
          <w:tcPr>
            <w:tcW w:type="dxa" w:w="1247"/>
            <w:shd w:val="clear" w:color="auto" w:fill="EBF3FA"/>
          </w:tcPr>
          <w:p>
            <w:pPr>
              <w:spacing w:after="0"/>
            </w:pPr>
            <w:r>
              <w:rPr>
                <w:sz w:val="18"/>
              </w:rPr>
              <w:t>29,589</w:t>
            </w:r>
          </w:p>
        </w:tc>
        <w:tc>
          <w:tcPr>
            <w:tcW w:type="dxa" w:w="1417"/>
            <w:shd w:val="clear" w:color="auto" w:fill="EBF3FA"/>
          </w:tcPr>
          <w:p>
            <w:pPr>
              <w:spacing w:after="0"/>
            </w:pPr>
            <w:r>
              <w:rPr>
                <w:sz w:val="18"/>
              </w:rPr>
              <w:t>+1.125</w:t>
            </w:r>
          </w:p>
        </w:tc>
        <w:tc>
          <w:tcPr>
            <w:tcW w:type="dxa" w:w="1417"/>
            <w:shd w:val="clear" w:color="auto" w:fill="EBF3FA"/>
          </w:tcPr>
          <w:p>
            <w:pPr>
              <w:spacing w:after="0"/>
            </w:pPr>
            <w:r>
              <w:rPr>
                <w:sz w:val="18"/>
              </w:rPr>
              <w:t>−0.148</w:t>
            </w:r>
          </w:p>
        </w:tc>
        <w:tc>
          <w:tcPr>
            <w:tcW w:type="dxa" w:w="1417"/>
            <w:shd w:val="clear" w:color="auto" w:fill="EBF3FA"/>
          </w:tcPr>
          <w:p>
            <w:pPr>
              <w:spacing w:after="0"/>
            </w:pPr>
            <w:r>
              <w:rPr>
                <w:sz w:val="18"/>
              </w:rPr>
              <w:t>−1.046</w:t>
            </w:r>
          </w:p>
        </w:tc>
      </w:tr>
      <w:tr>
        <w:tc>
          <w:tcPr>
            <w:tcW w:type="dxa" w:w="1247"/>
            <w:shd w:val="clear" w:color="auto" w:fill="FFFFFF"/>
          </w:tcPr>
          <w:p>
            <w:pPr>
              <w:spacing w:after="0"/>
            </w:pPr>
            <w:r>
              <w:rPr>
                <w:sz w:val="18"/>
              </w:rPr>
              <w:t>0.175</w:t>
            </w:r>
          </w:p>
        </w:tc>
        <w:tc>
          <w:tcPr>
            <w:tcW w:type="dxa" w:w="1247"/>
            <w:shd w:val="clear" w:color="auto" w:fill="FFFFFF"/>
          </w:tcPr>
          <w:p>
            <w:pPr>
              <w:spacing w:after="0"/>
            </w:pPr>
            <w:r>
              <w:rPr>
                <w:sz w:val="18"/>
              </w:rPr>
              <w:t>32,999</w:t>
            </w:r>
          </w:p>
        </w:tc>
        <w:tc>
          <w:tcPr>
            <w:tcW w:type="dxa" w:w="1417"/>
            <w:shd w:val="clear" w:color="auto" w:fill="FFFFFF"/>
          </w:tcPr>
          <w:p>
            <w:pPr>
              <w:spacing w:after="0"/>
            </w:pPr>
            <w:r>
              <w:rPr>
                <w:sz w:val="18"/>
              </w:rPr>
              <w:t>+1.694</w:t>
            </w:r>
          </w:p>
        </w:tc>
        <w:tc>
          <w:tcPr>
            <w:tcW w:type="dxa" w:w="1417"/>
            <w:shd w:val="clear" w:color="auto" w:fill="FFFFFF"/>
          </w:tcPr>
          <w:p>
            <w:pPr>
              <w:spacing w:after="0"/>
            </w:pPr>
            <w:r>
              <w:rPr>
                <w:sz w:val="18"/>
              </w:rPr>
              <w:t>−0.387</w:t>
            </w:r>
          </w:p>
        </w:tc>
        <w:tc>
          <w:tcPr>
            <w:tcW w:type="dxa" w:w="1417"/>
            <w:shd w:val="clear" w:color="auto" w:fill="FFFFFF"/>
          </w:tcPr>
          <w:p>
            <w:pPr>
              <w:spacing w:after="0"/>
            </w:pPr>
            <w:r>
              <w:rPr>
                <w:sz w:val="18"/>
              </w:rPr>
              <w:t>−0.897</w:t>
            </w:r>
          </w:p>
        </w:tc>
      </w:tr>
      <w:tr>
        <w:tc>
          <w:tcPr>
            <w:tcW w:type="dxa" w:w="1247"/>
            <w:shd w:val="clear" w:color="auto" w:fill="EBF3FA"/>
          </w:tcPr>
          <w:p>
            <w:pPr>
              <w:spacing w:after="0"/>
            </w:pPr>
            <w:r>
              <w:rPr>
                <w:sz w:val="18"/>
              </w:rPr>
              <w:t>0.225</w:t>
            </w:r>
          </w:p>
        </w:tc>
        <w:tc>
          <w:tcPr>
            <w:tcW w:type="dxa" w:w="1247"/>
            <w:shd w:val="clear" w:color="auto" w:fill="EBF3FA"/>
          </w:tcPr>
          <w:p>
            <w:pPr>
              <w:spacing w:after="0"/>
            </w:pPr>
            <w:r>
              <w:rPr>
                <w:sz w:val="18"/>
              </w:rPr>
              <w:t>27,116</w:t>
            </w:r>
          </w:p>
        </w:tc>
        <w:tc>
          <w:tcPr>
            <w:tcW w:type="dxa" w:w="1417"/>
            <w:shd w:val="clear" w:color="auto" w:fill="EBF3FA"/>
          </w:tcPr>
          <w:p>
            <w:pPr>
              <w:spacing w:after="0"/>
            </w:pPr>
            <w:r>
              <w:rPr>
                <w:sz w:val="18"/>
              </w:rPr>
              <w:t>+1.995</w:t>
            </w:r>
          </w:p>
        </w:tc>
        <w:tc>
          <w:tcPr>
            <w:tcW w:type="dxa" w:w="1417"/>
            <w:shd w:val="clear" w:color="auto" w:fill="EBF3FA"/>
          </w:tcPr>
          <w:p>
            <w:pPr>
              <w:spacing w:after="0"/>
            </w:pPr>
            <w:r>
              <w:rPr>
                <w:sz w:val="18"/>
              </w:rPr>
              <w:t>−0.523</w:t>
            </w:r>
          </w:p>
        </w:tc>
        <w:tc>
          <w:tcPr>
            <w:tcW w:type="dxa" w:w="1417"/>
            <w:shd w:val="clear" w:color="auto" w:fill="EBF3FA"/>
          </w:tcPr>
          <w:p>
            <w:pPr>
              <w:spacing w:after="0"/>
            </w:pPr>
            <w:r>
              <w:rPr>
                <w:sz w:val="18"/>
              </w:rPr>
              <w:t>−0.623</w:t>
            </w:r>
          </w:p>
        </w:tc>
      </w:tr>
      <w:tr>
        <w:tc>
          <w:tcPr>
            <w:tcW w:type="dxa" w:w="1247"/>
            <w:shd w:val="clear" w:color="auto" w:fill="FFFFFF"/>
          </w:tcPr>
          <w:p>
            <w:pPr>
              <w:spacing w:after="0"/>
            </w:pPr>
            <w:r>
              <w:rPr>
                <w:sz w:val="18"/>
              </w:rPr>
              <w:t>0.275</w:t>
            </w:r>
          </w:p>
        </w:tc>
        <w:tc>
          <w:tcPr>
            <w:tcW w:type="dxa" w:w="1247"/>
            <w:shd w:val="clear" w:color="auto" w:fill="FFFFFF"/>
          </w:tcPr>
          <w:p>
            <w:pPr>
              <w:spacing w:after="0"/>
            </w:pPr>
            <w:r>
              <w:rPr>
                <w:sz w:val="18"/>
              </w:rPr>
              <w:t>33,685</w:t>
            </w:r>
          </w:p>
        </w:tc>
        <w:tc>
          <w:tcPr>
            <w:tcW w:type="dxa" w:w="1417"/>
            <w:shd w:val="clear" w:color="auto" w:fill="FFFFFF"/>
          </w:tcPr>
          <w:p>
            <w:pPr>
              <w:spacing w:after="0"/>
            </w:pPr>
            <w:r>
              <w:rPr>
                <w:sz w:val="18"/>
              </w:rPr>
              <w:t>+2.532</w:t>
            </w:r>
          </w:p>
        </w:tc>
        <w:tc>
          <w:tcPr>
            <w:tcW w:type="dxa" w:w="1417"/>
            <w:shd w:val="clear" w:color="auto" w:fill="FFFFFF"/>
          </w:tcPr>
          <w:p>
            <w:pPr>
              <w:spacing w:after="0"/>
            </w:pPr>
            <w:r>
              <w:rPr>
                <w:sz w:val="18"/>
              </w:rPr>
              <w:t>−0.745</w:t>
            </w:r>
          </w:p>
        </w:tc>
        <w:tc>
          <w:tcPr>
            <w:tcW w:type="dxa" w:w="1417"/>
            <w:shd w:val="clear" w:color="auto" w:fill="FFFFFF"/>
          </w:tcPr>
          <w:p>
            <w:pPr>
              <w:spacing w:after="0"/>
            </w:pPr>
            <w:r>
              <w:rPr>
                <w:sz w:val="18"/>
              </w:rPr>
              <w:t>−0.188</w:t>
            </w:r>
          </w:p>
        </w:tc>
      </w:tr>
      <w:tr>
        <w:tc>
          <w:tcPr>
            <w:tcW w:type="dxa" w:w="1247"/>
            <w:shd w:val="clear" w:color="auto" w:fill="EBF3FA"/>
          </w:tcPr>
          <w:p>
            <w:pPr>
              <w:spacing w:after="0"/>
            </w:pPr>
            <w:r>
              <w:rPr>
                <w:sz w:val="18"/>
              </w:rPr>
              <w:t>0.325</w:t>
            </w:r>
          </w:p>
        </w:tc>
        <w:tc>
          <w:tcPr>
            <w:tcW w:type="dxa" w:w="1247"/>
            <w:shd w:val="clear" w:color="auto" w:fill="EBF3FA"/>
          </w:tcPr>
          <w:p>
            <w:pPr>
              <w:spacing w:after="0"/>
            </w:pPr>
            <w:r>
              <w:rPr>
                <w:sz w:val="18"/>
              </w:rPr>
              <w:t>21,588</w:t>
            </w:r>
          </w:p>
        </w:tc>
        <w:tc>
          <w:tcPr>
            <w:tcW w:type="dxa" w:w="1417"/>
            <w:shd w:val="clear" w:color="auto" w:fill="EBF3FA"/>
          </w:tcPr>
          <w:p>
            <w:pPr>
              <w:spacing w:after="0"/>
            </w:pPr>
            <w:r>
              <w:rPr>
                <w:sz w:val="18"/>
              </w:rPr>
              <w:t>+2.701</w:t>
            </w:r>
          </w:p>
        </w:tc>
        <w:tc>
          <w:tcPr>
            <w:tcW w:type="dxa" w:w="1417"/>
            <w:shd w:val="clear" w:color="auto" w:fill="EBF3FA"/>
          </w:tcPr>
          <w:p>
            <w:pPr>
              <w:spacing w:after="0"/>
            </w:pPr>
            <w:r>
              <w:rPr>
                <w:sz w:val="18"/>
              </w:rPr>
              <w:t>−0.821</w:t>
            </w:r>
          </w:p>
        </w:tc>
        <w:tc>
          <w:tcPr>
            <w:tcW w:type="dxa" w:w="1417"/>
            <w:shd w:val="clear" w:color="auto" w:fill="EBF3FA"/>
          </w:tcPr>
          <w:p>
            <w:pPr>
              <w:spacing w:after="0"/>
            </w:pPr>
            <w:r>
              <w:rPr>
                <w:sz w:val="18"/>
              </w:rPr>
              <w:t>+0.069</w:t>
            </w:r>
          </w:p>
        </w:tc>
      </w:tr>
    </w:tbl>
    <w:p>
      <w:pPr>
        <w:spacing w:after="120" w:before="40"/>
      </w:pPr>
      <w:r>
        <w:rPr>
          <w:i/>
          <w:color w:val="606060"/>
          <w:sz w:val="17"/>
        </w:rPr>
        <w:t>Spearman r(λ,z) = +1.000, p = 4.0×10⁻⁴;  Spearman r(Skew,z) = −1.000, p = 4.0×10⁻⁴. All bins lie outside the bootstrap 95% null envelope.</w:t>
      </w:r>
    </w:p>
    <w:p>
      <w:pPr>
        <w:spacing w:after="40"/>
      </w:pPr>
    </w:p>
    <w:p>
      <w:r>
        <w:drawing>
          <wp:inline xmlns:a="http://schemas.openxmlformats.org/drawingml/2006/main" xmlns:pic="http://schemas.openxmlformats.org/drawingml/2006/picture">
            <wp:extent cx="5486400" cy="2474150"/>
            <wp:docPr id="1" name="Picture 1"/>
            <wp:cNvGraphicFramePr>
              <a:graphicFrameLocks noChangeAspect="1"/>
            </wp:cNvGraphicFramePr>
            <a:graphic>
              <a:graphicData uri="http://schemas.openxmlformats.org/drawingml/2006/picture">
                <pic:pic>
                  <pic:nvPicPr>
                    <pic:cNvPr id="0" name="Fig2_Shape_vs_Redshift.png"/>
                    <pic:cNvPicPr/>
                  </pic:nvPicPr>
                  <pic:blipFill>
                    <a:blip r:embed="rId9"/>
                    <a:stretch>
                      <a:fillRect/>
                    </a:stretch>
                  </pic:blipFill>
                  <pic:spPr>
                    <a:xfrm>
                      <a:off x="0" y="0"/>
                      <a:ext cx="5486400" cy="2474150"/>
                    </a:xfrm>
                    <a:prstGeom prst="rect"/>
                  </pic:spPr>
                </pic:pic>
              </a:graphicData>
            </a:graphic>
          </wp:inline>
        </w:drawing>
      </w:r>
    </w:p>
    <w:p>
      <w:pPr>
        <w:spacing w:before="40" w:after="160"/>
      </w:pPr>
      <w:r>
        <w:rPr>
          <w:i/>
          <w:color w:val="606060"/>
          <w:sz w:val="19"/>
        </w:rPr>
        <w:t>Figure 1. Box-Cox λ (left) and skewness (right) of the u−r colour distribution vs redshift. Grey band = 95% bootstrap null envelope (500 iterations). Red stars mark bins where the observed value lies outside the null. Both parameters show perfect monotonic trends (Spearman |r| = 1.00, p = 4×10⁻⁴).</w:t>
      </w:r>
    </w:p>
    <w:p/>
    <w:p>
      <w:pPr>
        <w:pStyle w:val="Heading1"/>
      </w:pPr>
      <w:r>
        <w:rPr>
          <w:color w:val="1F497D"/>
          <w:sz w:val="26"/>
        </w:rPr>
        <w:t>5. Discussion</w:t>
      </w:r>
    </w:p>
    <w:p>
      <w:pPr>
        <w:spacing w:after="80"/>
      </w:pPr>
      <w:r>
        <w:t>Our partial correlation results align with the picture that halo mass is the primary driver of colour–environment correlations for morphologically selected red galaxies (Peng et al. 2012; Woo et al. 2013). Complete mediation for ellipticals suggests that once a galaxy has settled into a massive halo and undergone morphological transformation, residual local environment adds little further quenching pressure. The ∼50% survival of the signal in the full population points to secondary processes consistent with harassment and tidal stripping acting preferentially on late-type discs (Moore et al. 1996).</w:t>
      </w:r>
    </w:p>
    <w:p>
      <w:pPr>
        <w:spacing w:after="80"/>
      </w:pPr>
      <w:r>
        <w:t>The distribution shape results offer a model-independent complement. Perfect monotonic Spearman trends (|r| = 1.00, p &lt; 0.001) across seven independent redshift bins, combined with consistent departure from the bootstrap null, constitute strong evidence of real physical evolution — a direct quantitative answer to the objection that shape differences merely reflect statistical variation. The sign change in skewness and the transition of λ through zero provide concrete observational benchmarks that quenching models should reproduce.</w:t>
      </w:r>
    </w:p>
    <w:p>
      <w:pPr>
        <w:spacing w:after="80"/>
      </w:pPr>
      <w:r>
        <w:t>Limitations include photometric redshift scatter in the lowest-z bin (z &lt; 0.05). Future work could extend to z ∼ 0.5 using deeper surveys, or decompose shape evolution by stellar mass to disentangle mass quenching from environment quenching.</w:t>
      </w:r>
    </w:p>
    <w:p/>
    <w:p>
      <w:pPr>
        <w:pStyle w:val="Heading1"/>
      </w:pPr>
      <w:r>
        <w:rPr>
          <w:color w:val="1F497D"/>
          <w:sz w:val="26"/>
        </w:rPr>
        <w:t>6. Conclusions</w:t>
      </w:r>
    </w:p>
    <w:p>
      <w:pPr>
        <w:spacing w:after="80"/>
      </w:pPr>
      <w:r>
        <w:t>1.  Halo mass fully mediates colour–environment for elliptical galaxies (N = 1,270); partial correlations collapse to r ≈ 0 after controlling for log(MassA).</w:t>
      </w:r>
    </w:p>
    <w:p>
      <w:pPr>
        <w:spacing w:after="80"/>
      </w:pPr>
      <w:r>
        <w:t>2.  For the full galaxy population (N = 22,531), ∼50% of the signal survives halo control, indicating a morphology-linked secondary pathway.</w:t>
      </w:r>
    </w:p>
    <w:p>
      <w:pPr>
        <w:spacing w:after="80"/>
      </w:pPr>
      <w:r>
        <w:t>3.  Skewness and Box-Cox λ evolve monotonically with redshift (|Spearman r| = 1.00, p = 4×10⁻⁴): skewness from +0.90 to −0.82 and λ from −0.20 to +2.70 across z = 0.03–0.33, inconsistent with sampling noise and consistent with progressive consolidation of the red sequence.</w:t>
      </w:r>
    </w:p>
    <w:p/>
    <w:p>
      <w:pPr>
        <w:pStyle w:val="Heading1"/>
      </w:pPr>
      <w:r>
        <w:rPr>
          <w:color w:val="1F497D"/>
          <w:sz w:val="26"/>
        </w:rPr>
        <w:t>Data Availability</w:t>
      </w:r>
    </w:p>
    <w:p>
      <w:pPr>
        <w:spacing w:after="80"/>
      </w:pPr>
      <w:r>
        <w:t>GAMA DR4: https://www.gama-survey.org/dr4/. Analysis notebooks available on request.</w:t>
      </w:r>
    </w:p>
    <w:p/>
    <w:p>
      <w:pPr>
        <w:pStyle w:val="Heading1"/>
      </w:pPr>
      <w:r>
        <w:rPr>
          <w:color w:val="1F497D"/>
          <w:sz w:val="26"/>
        </w:rPr>
        <w:t>Appendix A: Johnson SU Fit Parameters</w:t>
      </w:r>
    </w:p>
    <w:p>
      <w:pPr>
        <w:spacing w:after="80"/>
      </w:pPr>
      <w:r>
        <w:t>Table A1 gives the full shape parameters including Johnson SU (a, b). The JSU a parameter shows large non-monotonic variation despite the smooth evolution of skewness and λ, arising from correlation between a and b on a near-flat likelihood ridge.</w:t>
      </w:r>
    </w:p>
    <w:p>
      <w:pPr>
        <w:spacing w:after="40"/>
      </w:pPr>
      <w:r>
        <w:rPr>
          <w:b/>
          <w:color w:val="1F497D"/>
          <w:sz w:val="20"/>
        </w:rPr>
        <w:t>Table A1. Full shape parameters including Johnson SU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97D"/>
          </w:tcPr>
          <w:p>
            <w:pPr>
              <w:spacing w:after="0"/>
            </w:pPr>
            <w:r>
              <w:rPr>
                <w:b/>
                <w:color w:val="FFFFFF"/>
                <w:sz w:val="18"/>
              </w:rPr>
              <w:t>z</w:t>
            </w:r>
          </w:p>
        </w:tc>
        <w:tc>
          <w:tcPr>
            <w:tcW w:type="dxa" w:w="1134"/>
            <w:shd w:val="clear" w:color="auto" w:fill="1F497D"/>
          </w:tcPr>
          <w:p>
            <w:pPr>
              <w:spacing w:after="0"/>
            </w:pPr>
            <w:r>
              <w:rPr>
                <w:b/>
                <w:color w:val="FFFFFF"/>
                <w:sz w:val="18"/>
              </w:rPr>
              <w:t>N</w:t>
            </w:r>
          </w:p>
        </w:tc>
        <w:tc>
          <w:tcPr>
            <w:tcW w:type="dxa" w:w="1020"/>
            <w:shd w:val="clear" w:color="auto" w:fill="1F497D"/>
          </w:tcPr>
          <w:p>
            <w:pPr>
              <w:spacing w:after="0"/>
            </w:pPr>
            <w:r>
              <w:rPr>
                <w:b/>
                <w:color w:val="FFFFFF"/>
                <w:sz w:val="18"/>
              </w:rPr>
              <w:t>JSU a</w:t>
            </w:r>
          </w:p>
        </w:tc>
        <w:tc>
          <w:tcPr>
            <w:tcW w:type="dxa" w:w="1020"/>
            <w:shd w:val="clear" w:color="auto" w:fill="1F497D"/>
          </w:tcPr>
          <w:p>
            <w:pPr>
              <w:spacing w:after="0"/>
            </w:pPr>
            <w:r>
              <w:rPr>
                <w:b/>
                <w:color w:val="FFFFFF"/>
                <w:sz w:val="18"/>
              </w:rPr>
              <w:t>JSU b</w:t>
            </w:r>
          </w:p>
        </w:tc>
        <w:tc>
          <w:tcPr>
            <w:tcW w:type="dxa" w:w="1134"/>
            <w:shd w:val="clear" w:color="auto" w:fill="1F497D"/>
          </w:tcPr>
          <w:p>
            <w:pPr>
              <w:spacing w:after="0"/>
            </w:pPr>
            <w:r>
              <w:rPr>
                <w:b/>
                <w:color w:val="FFFFFF"/>
                <w:sz w:val="18"/>
              </w:rPr>
              <w:t>Box-Cox λ</w:t>
            </w:r>
          </w:p>
        </w:tc>
        <w:tc>
          <w:tcPr>
            <w:tcW w:type="dxa" w:w="1134"/>
            <w:shd w:val="clear" w:color="auto" w:fill="1F497D"/>
          </w:tcPr>
          <w:p>
            <w:pPr>
              <w:spacing w:after="0"/>
            </w:pPr>
            <w:r>
              <w:rPr>
                <w:b/>
                <w:color w:val="FFFFFF"/>
                <w:sz w:val="18"/>
              </w:rPr>
              <w:t>Skewness</w:t>
            </w:r>
          </w:p>
        </w:tc>
        <w:tc>
          <w:tcPr>
            <w:tcW w:type="dxa" w:w="907"/>
            <w:shd w:val="clear" w:color="auto" w:fill="1F497D"/>
          </w:tcPr>
          <w:p>
            <w:pPr>
              <w:spacing w:after="0"/>
            </w:pPr>
            <w:r>
              <w:rPr>
                <w:b/>
                <w:color w:val="FFFFFF"/>
                <w:sz w:val="18"/>
              </w:rPr>
              <w:t>Kurt</w:t>
            </w:r>
          </w:p>
        </w:tc>
      </w:tr>
      <w:tr>
        <w:tc>
          <w:tcPr>
            <w:tcW w:type="dxa" w:w="1134"/>
            <w:shd w:val="clear" w:color="auto" w:fill="EBF3FA"/>
          </w:tcPr>
          <w:p>
            <w:pPr>
              <w:spacing w:after="0"/>
            </w:pPr>
            <w:r>
              <w:rPr>
                <w:sz w:val="18"/>
              </w:rPr>
              <w:t>0.026</w:t>
            </w:r>
          </w:p>
        </w:tc>
        <w:tc>
          <w:tcPr>
            <w:tcW w:type="dxa" w:w="1134"/>
            <w:shd w:val="clear" w:color="auto" w:fill="EBF3FA"/>
          </w:tcPr>
          <w:p>
            <w:pPr>
              <w:spacing w:after="0"/>
            </w:pPr>
            <w:r>
              <w:rPr>
                <w:sz w:val="18"/>
              </w:rPr>
              <w:t>3,932</w:t>
            </w:r>
          </w:p>
        </w:tc>
        <w:tc>
          <w:tcPr>
            <w:tcW w:type="dxa" w:w="1020"/>
            <w:shd w:val="clear" w:color="auto" w:fill="EBF3FA"/>
          </w:tcPr>
          <w:p>
            <w:pPr>
              <w:spacing w:after="0"/>
            </w:pPr>
            <w:r>
              <w:rPr>
                <w:sz w:val="18"/>
              </w:rPr>
              <w:t>−2.763</w:t>
            </w:r>
          </w:p>
        </w:tc>
        <w:tc>
          <w:tcPr>
            <w:tcW w:type="dxa" w:w="1020"/>
            <w:shd w:val="clear" w:color="auto" w:fill="EBF3FA"/>
          </w:tcPr>
          <w:p>
            <w:pPr>
              <w:spacing w:after="0"/>
            </w:pPr>
            <w:r>
              <w:rPr>
                <w:sz w:val="18"/>
              </w:rPr>
              <w:t>+2.210</w:t>
            </w:r>
          </w:p>
        </w:tc>
        <w:tc>
          <w:tcPr>
            <w:tcW w:type="dxa" w:w="1134"/>
            <w:shd w:val="clear" w:color="auto" w:fill="EBF3FA"/>
          </w:tcPr>
          <w:p>
            <w:pPr>
              <w:spacing w:after="0"/>
            </w:pPr>
            <w:r>
              <w:rPr>
                <w:sz w:val="18"/>
              </w:rPr>
              <w:t>−0.200</w:t>
            </w:r>
          </w:p>
        </w:tc>
        <w:tc>
          <w:tcPr>
            <w:tcW w:type="dxa" w:w="1134"/>
            <w:shd w:val="clear" w:color="auto" w:fill="EBF3FA"/>
          </w:tcPr>
          <w:p>
            <w:pPr>
              <w:spacing w:after="0"/>
            </w:pPr>
            <w:r>
              <w:rPr>
                <w:sz w:val="18"/>
              </w:rPr>
              <w:t>+0.899</w:t>
            </w:r>
          </w:p>
        </w:tc>
        <w:tc>
          <w:tcPr>
            <w:tcW w:type="dxa" w:w="907"/>
            <w:shd w:val="clear" w:color="auto" w:fill="EBF3FA"/>
          </w:tcPr>
          <w:p>
            <w:pPr>
              <w:spacing w:after="0"/>
            </w:pPr>
            <w:r>
              <w:rPr>
                <w:sz w:val="18"/>
              </w:rPr>
              <w:t>+0.824</w:t>
            </w:r>
          </w:p>
        </w:tc>
      </w:tr>
      <w:tr>
        <w:tc>
          <w:tcPr>
            <w:tcW w:type="dxa" w:w="1134"/>
            <w:shd w:val="clear" w:color="auto" w:fill="FFFFFF"/>
          </w:tcPr>
          <w:p>
            <w:pPr>
              <w:spacing w:after="0"/>
            </w:pPr>
            <w:r>
              <w:rPr>
                <w:sz w:val="18"/>
              </w:rPr>
              <w:t>0.075</w:t>
            </w:r>
          </w:p>
        </w:tc>
        <w:tc>
          <w:tcPr>
            <w:tcW w:type="dxa" w:w="1134"/>
            <w:shd w:val="clear" w:color="auto" w:fill="FFFFFF"/>
          </w:tcPr>
          <w:p>
            <w:pPr>
              <w:spacing w:after="0"/>
            </w:pPr>
            <w:r>
              <w:rPr>
                <w:sz w:val="18"/>
              </w:rPr>
              <w:t>16,579</w:t>
            </w:r>
          </w:p>
        </w:tc>
        <w:tc>
          <w:tcPr>
            <w:tcW w:type="dxa" w:w="1020"/>
            <w:shd w:val="clear" w:color="auto" w:fill="FFFFFF"/>
          </w:tcPr>
          <w:p>
            <w:pPr>
              <w:spacing w:after="0"/>
            </w:pPr>
            <w:r>
              <w:rPr>
                <w:sz w:val="18"/>
              </w:rPr>
              <w:t>−11.677</w:t>
            </w:r>
          </w:p>
        </w:tc>
        <w:tc>
          <w:tcPr>
            <w:tcW w:type="dxa" w:w="1020"/>
            <w:shd w:val="clear" w:color="auto" w:fill="FFFFFF"/>
          </w:tcPr>
          <w:p>
            <w:pPr>
              <w:spacing w:after="0"/>
            </w:pPr>
            <w:r>
              <w:rPr>
                <w:sz w:val="18"/>
              </w:rPr>
              <w:t>+5.925</w:t>
            </w:r>
          </w:p>
        </w:tc>
        <w:tc>
          <w:tcPr>
            <w:tcW w:type="dxa" w:w="1134"/>
            <w:shd w:val="clear" w:color="auto" w:fill="FFFFFF"/>
          </w:tcPr>
          <w:p>
            <w:pPr>
              <w:spacing w:after="0"/>
            </w:pPr>
            <w:r>
              <w:rPr>
                <w:sz w:val="18"/>
              </w:rPr>
              <w:t>+0.431</w:t>
            </w:r>
          </w:p>
        </w:tc>
        <w:tc>
          <w:tcPr>
            <w:tcW w:type="dxa" w:w="1134"/>
            <w:shd w:val="clear" w:color="auto" w:fill="FFFFFF"/>
          </w:tcPr>
          <w:p>
            <w:pPr>
              <w:spacing w:after="0"/>
            </w:pPr>
            <w:r>
              <w:rPr>
                <w:sz w:val="18"/>
              </w:rPr>
              <w:t>+0.263</w:t>
            </w:r>
          </w:p>
        </w:tc>
        <w:tc>
          <w:tcPr>
            <w:tcW w:type="dxa" w:w="907"/>
            <w:shd w:val="clear" w:color="auto" w:fill="FFFFFF"/>
          </w:tcPr>
          <w:p>
            <w:pPr>
              <w:spacing w:after="0"/>
            </w:pPr>
            <w:r>
              <w:rPr>
                <w:sz w:val="18"/>
              </w:rPr>
              <w:t>−0.750</w:t>
            </w:r>
          </w:p>
        </w:tc>
      </w:tr>
      <w:tr>
        <w:tc>
          <w:tcPr>
            <w:tcW w:type="dxa" w:w="1134"/>
            <w:shd w:val="clear" w:color="auto" w:fill="EBF3FA"/>
          </w:tcPr>
          <w:p>
            <w:pPr>
              <w:spacing w:after="0"/>
            </w:pPr>
            <w:r>
              <w:rPr>
                <w:sz w:val="18"/>
              </w:rPr>
              <w:t>0.125</w:t>
            </w:r>
          </w:p>
        </w:tc>
        <w:tc>
          <w:tcPr>
            <w:tcW w:type="dxa" w:w="1134"/>
            <w:shd w:val="clear" w:color="auto" w:fill="EBF3FA"/>
          </w:tcPr>
          <w:p>
            <w:pPr>
              <w:spacing w:after="0"/>
            </w:pPr>
            <w:r>
              <w:rPr>
                <w:sz w:val="18"/>
              </w:rPr>
              <w:t>29,589</w:t>
            </w:r>
          </w:p>
        </w:tc>
        <w:tc>
          <w:tcPr>
            <w:tcW w:type="dxa" w:w="1020"/>
            <w:shd w:val="clear" w:color="auto" w:fill="EBF3FA"/>
          </w:tcPr>
          <w:p>
            <w:pPr>
              <w:spacing w:after="0"/>
            </w:pPr>
            <w:r>
              <w:rPr>
                <w:sz w:val="18"/>
              </w:rPr>
              <w:t>+20.679</w:t>
            </w:r>
          </w:p>
        </w:tc>
        <w:tc>
          <w:tcPr>
            <w:tcW w:type="dxa" w:w="1020"/>
            <w:shd w:val="clear" w:color="auto" w:fill="EBF3FA"/>
          </w:tcPr>
          <w:p>
            <w:pPr>
              <w:spacing w:after="0"/>
            </w:pPr>
            <w:r>
              <w:rPr>
                <w:sz w:val="18"/>
              </w:rPr>
              <w:t>+7.171</w:t>
            </w:r>
          </w:p>
        </w:tc>
        <w:tc>
          <w:tcPr>
            <w:tcW w:type="dxa" w:w="1134"/>
            <w:shd w:val="clear" w:color="auto" w:fill="EBF3FA"/>
          </w:tcPr>
          <w:p>
            <w:pPr>
              <w:spacing w:after="0"/>
            </w:pPr>
            <w:r>
              <w:rPr>
                <w:sz w:val="18"/>
              </w:rPr>
              <w:t>+1.125</w:t>
            </w:r>
          </w:p>
        </w:tc>
        <w:tc>
          <w:tcPr>
            <w:tcW w:type="dxa" w:w="1134"/>
            <w:shd w:val="clear" w:color="auto" w:fill="EBF3FA"/>
          </w:tcPr>
          <w:p>
            <w:pPr>
              <w:spacing w:after="0"/>
            </w:pPr>
            <w:r>
              <w:rPr>
                <w:sz w:val="18"/>
              </w:rPr>
              <w:t>−0.148</w:t>
            </w:r>
          </w:p>
        </w:tc>
        <w:tc>
          <w:tcPr>
            <w:tcW w:type="dxa" w:w="907"/>
            <w:shd w:val="clear" w:color="auto" w:fill="EBF3FA"/>
          </w:tcPr>
          <w:p>
            <w:pPr>
              <w:spacing w:after="0"/>
            </w:pPr>
            <w:r>
              <w:rPr>
                <w:sz w:val="18"/>
              </w:rPr>
              <w:t>−1.046</w:t>
            </w:r>
          </w:p>
        </w:tc>
      </w:tr>
      <w:tr>
        <w:tc>
          <w:tcPr>
            <w:tcW w:type="dxa" w:w="1134"/>
            <w:shd w:val="clear" w:color="auto" w:fill="FFFFFF"/>
          </w:tcPr>
          <w:p>
            <w:pPr>
              <w:spacing w:after="0"/>
            </w:pPr>
            <w:r>
              <w:rPr>
                <w:sz w:val="18"/>
              </w:rPr>
              <w:t>0.175</w:t>
            </w:r>
          </w:p>
        </w:tc>
        <w:tc>
          <w:tcPr>
            <w:tcW w:type="dxa" w:w="1134"/>
            <w:shd w:val="clear" w:color="auto" w:fill="FFFFFF"/>
          </w:tcPr>
          <w:p>
            <w:pPr>
              <w:spacing w:after="0"/>
            </w:pPr>
            <w:r>
              <w:rPr>
                <w:sz w:val="18"/>
              </w:rPr>
              <w:t>32,999</w:t>
            </w:r>
          </w:p>
        </w:tc>
        <w:tc>
          <w:tcPr>
            <w:tcW w:type="dxa" w:w="1020"/>
            <w:shd w:val="clear" w:color="auto" w:fill="FFFFFF"/>
          </w:tcPr>
          <w:p>
            <w:pPr>
              <w:spacing w:after="0"/>
            </w:pPr>
            <w:r>
              <w:rPr>
                <w:sz w:val="18"/>
              </w:rPr>
              <w:t>+9.776</w:t>
            </w:r>
          </w:p>
        </w:tc>
        <w:tc>
          <w:tcPr>
            <w:tcW w:type="dxa" w:w="1020"/>
            <w:shd w:val="clear" w:color="auto" w:fill="FFFFFF"/>
          </w:tcPr>
          <w:p>
            <w:pPr>
              <w:spacing w:after="0"/>
            </w:pPr>
            <w:r>
              <w:rPr>
                <w:sz w:val="18"/>
              </w:rPr>
              <w:t>+3.566</w:t>
            </w:r>
          </w:p>
        </w:tc>
        <w:tc>
          <w:tcPr>
            <w:tcW w:type="dxa" w:w="1134"/>
            <w:shd w:val="clear" w:color="auto" w:fill="FFFFFF"/>
          </w:tcPr>
          <w:p>
            <w:pPr>
              <w:spacing w:after="0"/>
            </w:pPr>
            <w:r>
              <w:rPr>
                <w:sz w:val="18"/>
              </w:rPr>
              <w:t>+1.694</w:t>
            </w:r>
          </w:p>
        </w:tc>
        <w:tc>
          <w:tcPr>
            <w:tcW w:type="dxa" w:w="1134"/>
            <w:shd w:val="clear" w:color="auto" w:fill="FFFFFF"/>
          </w:tcPr>
          <w:p>
            <w:pPr>
              <w:spacing w:after="0"/>
            </w:pPr>
            <w:r>
              <w:rPr>
                <w:sz w:val="18"/>
              </w:rPr>
              <w:t>−0.387</w:t>
            </w:r>
          </w:p>
        </w:tc>
        <w:tc>
          <w:tcPr>
            <w:tcW w:type="dxa" w:w="907"/>
            <w:shd w:val="clear" w:color="auto" w:fill="FFFFFF"/>
          </w:tcPr>
          <w:p>
            <w:pPr>
              <w:spacing w:after="0"/>
            </w:pPr>
            <w:r>
              <w:rPr>
                <w:sz w:val="18"/>
              </w:rPr>
              <w:t>−0.897</w:t>
            </w:r>
          </w:p>
        </w:tc>
      </w:tr>
      <w:tr>
        <w:tc>
          <w:tcPr>
            <w:tcW w:type="dxa" w:w="1134"/>
            <w:shd w:val="clear" w:color="auto" w:fill="EBF3FA"/>
          </w:tcPr>
          <w:p>
            <w:pPr>
              <w:spacing w:after="0"/>
            </w:pPr>
            <w:r>
              <w:rPr>
                <w:sz w:val="18"/>
              </w:rPr>
              <w:t>0.225</w:t>
            </w:r>
          </w:p>
        </w:tc>
        <w:tc>
          <w:tcPr>
            <w:tcW w:type="dxa" w:w="1134"/>
            <w:shd w:val="clear" w:color="auto" w:fill="EBF3FA"/>
          </w:tcPr>
          <w:p>
            <w:pPr>
              <w:spacing w:after="0"/>
            </w:pPr>
            <w:r>
              <w:rPr>
                <w:sz w:val="18"/>
              </w:rPr>
              <w:t>27,116</w:t>
            </w:r>
          </w:p>
        </w:tc>
        <w:tc>
          <w:tcPr>
            <w:tcW w:type="dxa" w:w="1020"/>
            <w:shd w:val="clear" w:color="auto" w:fill="EBF3FA"/>
          </w:tcPr>
          <w:p>
            <w:pPr>
              <w:spacing w:after="0"/>
            </w:pPr>
            <w:r>
              <w:rPr>
                <w:sz w:val="18"/>
              </w:rPr>
              <w:t>+3.431</w:t>
            </w:r>
          </w:p>
        </w:tc>
        <w:tc>
          <w:tcPr>
            <w:tcW w:type="dxa" w:w="1020"/>
            <w:shd w:val="clear" w:color="auto" w:fill="EBF3FA"/>
          </w:tcPr>
          <w:p>
            <w:pPr>
              <w:spacing w:after="0"/>
            </w:pPr>
            <w:r>
              <w:rPr>
                <w:sz w:val="18"/>
              </w:rPr>
              <w:t>+2.112</w:t>
            </w:r>
          </w:p>
        </w:tc>
        <w:tc>
          <w:tcPr>
            <w:tcW w:type="dxa" w:w="1134"/>
            <w:shd w:val="clear" w:color="auto" w:fill="EBF3FA"/>
          </w:tcPr>
          <w:p>
            <w:pPr>
              <w:spacing w:after="0"/>
            </w:pPr>
            <w:r>
              <w:rPr>
                <w:sz w:val="18"/>
              </w:rPr>
              <w:t>+1.995</w:t>
            </w:r>
          </w:p>
        </w:tc>
        <w:tc>
          <w:tcPr>
            <w:tcW w:type="dxa" w:w="1134"/>
            <w:shd w:val="clear" w:color="auto" w:fill="EBF3FA"/>
          </w:tcPr>
          <w:p>
            <w:pPr>
              <w:spacing w:after="0"/>
            </w:pPr>
            <w:r>
              <w:rPr>
                <w:sz w:val="18"/>
              </w:rPr>
              <w:t>−0.523</w:t>
            </w:r>
          </w:p>
        </w:tc>
        <w:tc>
          <w:tcPr>
            <w:tcW w:type="dxa" w:w="907"/>
            <w:shd w:val="clear" w:color="auto" w:fill="EBF3FA"/>
          </w:tcPr>
          <w:p>
            <w:pPr>
              <w:spacing w:after="0"/>
            </w:pPr>
            <w:r>
              <w:rPr>
                <w:sz w:val="18"/>
              </w:rPr>
              <w:t>−0.623</w:t>
            </w:r>
          </w:p>
        </w:tc>
      </w:tr>
      <w:tr>
        <w:tc>
          <w:tcPr>
            <w:tcW w:type="dxa" w:w="1134"/>
            <w:shd w:val="clear" w:color="auto" w:fill="FFFFFF"/>
          </w:tcPr>
          <w:p>
            <w:pPr>
              <w:spacing w:after="0"/>
            </w:pPr>
            <w:r>
              <w:rPr>
                <w:sz w:val="18"/>
              </w:rPr>
              <w:t>0.275</w:t>
            </w:r>
          </w:p>
        </w:tc>
        <w:tc>
          <w:tcPr>
            <w:tcW w:type="dxa" w:w="1134"/>
            <w:shd w:val="clear" w:color="auto" w:fill="FFFFFF"/>
          </w:tcPr>
          <w:p>
            <w:pPr>
              <w:spacing w:after="0"/>
            </w:pPr>
            <w:r>
              <w:rPr>
                <w:sz w:val="18"/>
              </w:rPr>
              <w:t>33,685</w:t>
            </w:r>
          </w:p>
        </w:tc>
        <w:tc>
          <w:tcPr>
            <w:tcW w:type="dxa" w:w="1020"/>
            <w:shd w:val="clear" w:color="auto" w:fill="FFFFFF"/>
          </w:tcPr>
          <w:p>
            <w:pPr>
              <w:spacing w:after="0"/>
            </w:pPr>
            <w:r>
              <w:rPr>
                <w:sz w:val="18"/>
              </w:rPr>
              <w:t>+2.802</w:t>
            </w:r>
          </w:p>
        </w:tc>
        <w:tc>
          <w:tcPr>
            <w:tcW w:type="dxa" w:w="1020"/>
            <w:shd w:val="clear" w:color="auto" w:fill="FFFFFF"/>
          </w:tcPr>
          <w:p>
            <w:pPr>
              <w:spacing w:after="0"/>
            </w:pPr>
            <w:r>
              <w:rPr>
                <w:sz w:val="18"/>
              </w:rPr>
              <w:t>+1.752</w:t>
            </w:r>
          </w:p>
        </w:tc>
        <w:tc>
          <w:tcPr>
            <w:tcW w:type="dxa" w:w="1134"/>
            <w:shd w:val="clear" w:color="auto" w:fill="FFFFFF"/>
          </w:tcPr>
          <w:p>
            <w:pPr>
              <w:spacing w:after="0"/>
            </w:pPr>
            <w:r>
              <w:rPr>
                <w:sz w:val="18"/>
              </w:rPr>
              <w:t>+2.532</w:t>
            </w:r>
          </w:p>
        </w:tc>
        <w:tc>
          <w:tcPr>
            <w:tcW w:type="dxa" w:w="1134"/>
            <w:shd w:val="clear" w:color="auto" w:fill="FFFFFF"/>
          </w:tcPr>
          <w:p>
            <w:pPr>
              <w:spacing w:after="0"/>
            </w:pPr>
            <w:r>
              <w:rPr>
                <w:sz w:val="18"/>
              </w:rPr>
              <w:t>−0.745</w:t>
            </w:r>
          </w:p>
        </w:tc>
        <w:tc>
          <w:tcPr>
            <w:tcW w:type="dxa" w:w="907"/>
            <w:shd w:val="clear" w:color="auto" w:fill="FFFFFF"/>
          </w:tcPr>
          <w:p>
            <w:pPr>
              <w:spacing w:after="0"/>
            </w:pPr>
            <w:r>
              <w:rPr>
                <w:sz w:val="18"/>
              </w:rPr>
              <w:t>−0.188</w:t>
            </w:r>
          </w:p>
        </w:tc>
      </w:tr>
      <w:tr>
        <w:tc>
          <w:tcPr>
            <w:tcW w:type="dxa" w:w="1134"/>
            <w:shd w:val="clear" w:color="auto" w:fill="EBF3FA"/>
          </w:tcPr>
          <w:p>
            <w:pPr>
              <w:spacing w:after="0"/>
            </w:pPr>
            <w:r>
              <w:rPr>
                <w:sz w:val="18"/>
              </w:rPr>
              <w:t>0.325</w:t>
            </w:r>
          </w:p>
        </w:tc>
        <w:tc>
          <w:tcPr>
            <w:tcW w:type="dxa" w:w="1134"/>
            <w:shd w:val="clear" w:color="auto" w:fill="EBF3FA"/>
          </w:tcPr>
          <w:p>
            <w:pPr>
              <w:spacing w:after="0"/>
            </w:pPr>
            <w:r>
              <w:rPr>
                <w:sz w:val="18"/>
              </w:rPr>
              <w:t>21,588</w:t>
            </w:r>
          </w:p>
        </w:tc>
        <w:tc>
          <w:tcPr>
            <w:tcW w:type="dxa" w:w="1020"/>
            <w:shd w:val="clear" w:color="auto" w:fill="EBF3FA"/>
          </w:tcPr>
          <w:p>
            <w:pPr>
              <w:spacing w:after="0"/>
            </w:pPr>
            <w:r>
              <w:rPr>
                <w:sz w:val="18"/>
              </w:rPr>
              <w:t>+2.836</w:t>
            </w:r>
          </w:p>
        </w:tc>
        <w:tc>
          <w:tcPr>
            <w:tcW w:type="dxa" w:w="1020"/>
            <w:shd w:val="clear" w:color="auto" w:fill="EBF3FA"/>
          </w:tcPr>
          <w:p>
            <w:pPr>
              <w:spacing w:after="0"/>
            </w:pPr>
            <w:r>
              <w:rPr>
                <w:sz w:val="18"/>
              </w:rPr>
              <w:t>+1.802</w:t>
            </w:r>
          </w:p>
        </w:tc>
        <w:tc>
          <w:tcPr>
            <w:tcW w:type="dxa" w:w="1134"/>
            <w:shd w:val="clear" w:color="auto" w:fill="EBF3FA"/>
          </w:tcPr>
          <w:p>
            <w:pPr>
              <w:spacing w:after="0"/>
            </w:pPr>
            <w:r>
              <w:rPr>
                <w:sz w:val="18"/>
              </w:rPr>
              <w:t>+2.701</w:t>
            </w:r>
          </w:p>
        </w:tc>
        <w:tc>
          <w:tcPr>
            <w:tcW w:type="dxa" w:w="1134"/>
            <w:shd w:val="clear" w:color="auto" w:fill="EBF3FA"/>
          </w:tcPr>
          <w:p>
            <w:pPr>
              <w:spacing w:after="0"/>
            </w:pPr>
            <w:r>
              <w:rPr>
                <w:sz w:val="18"/>
              </w:rPr>
              <w:t>−0.821</w:t>
            </w:r>
          </w:p>
        </w:tc>
        <w:tc>
          <w:tcPr>
            <w:tcW w:type="dxa" w:w="907"/>
            <w:shd w:val="clear" w:color="auto" w:fill="EBF3FA"/>
          </w:tcPr>
          <w:p>
            <w:pPr>
              <w:spacing w:after="0"/>
            </w:pPr>
            <w:r>
              <w:rPr>
                <w:sz w:val="18"/>
              </w:rPr>
              <w:t>+0.069</w:t>
            </w:r>
          </w:p>
        </w:tc>
      </w:tr>
    </w:tbl>
    <w:p>
      <w:pPr>
        <w:spacing w:after="120" w:before="40"/>
      </w:pPr>
      <w:r>
        <w:rPr>
          <w:i/>
          <w:color w:val="606060"/>
          <w:sz w:val="17"/>
        </w:rPr>
        <w:t>JSU a: Spearman r = +0.29, p = 0.53 (not significant). Box-Cox λ and skewness: |r| = 1.00, p &lt; 0.001. JSU a varies by &gt;30× while skewness changes by only 0.75 — instability is numerical, not physical.</w:t>
      </w:r>
    </w:p>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