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i/>
          <w:color w:val="646464"/>
          <w:sz w:val="18"/>
        </w:rPr>
        <w:t>Paper Outline — MNRAS Letters Submission</w:t>
      </w:r>
    </w:p>
    <w:p>
      <w:pPr>
        <w:spacing w:after="120"/>
        <w:jc w:val="center"/>
      </w:pPr>
      <w:r>
        <w:rPr>
          <w:rFonts w:ascii="Arial" w:hAnsi="Arial"/>
          <w:b/>
          <w:color w:val="1E326E"/>
          <w:sz w:val="32"/>
        </w:rPr>
        <w:t>Halo Mass Mediates the Colour–Environment Relation in GAMA:</w:t>
        <w:br/>
        <w:t>Evidence from Partial Correlation Analysis</w:t>
      </w:r>
    </w:p>
    <w:p>
      <w:pPr>
        <w:spacing w:after="280"/>
        <w:jc w:val="center"/>
      </w:pPr>
      <w:r>
        <w:rPr>
          <w:rFonts w:ascii="Georgia" w:hAnsi="Georgia"/>
          <w:i/>
          <w:color w:val="646464"/>
          <w:sz w:val="22"/>
        </w:rPr>
        <w:t>K. Sloan</w:t>
      </w:r>
    </w:p>
    <w:p>
      <w:pPr>
        <w:spacing w:before="40" w:after="80"/>
        <w:pBdr>
          <w:bottom w:val="single" w:sz="6" w:space="1" w:color="1E326E"/>
        </w:pBdr>
      </w:pPr>
    </w:p>
    <w:p>
      <w:pPr>
        <w:spacing w:before="200" w:after="60"/>
      </w:pPr>
      <w:r>
        <w:rPr>
          <w:rFonts w:ascii="Arial" w:hAnsi="Arial"/>
          <w:b/>
          <w:color w:val="3C5A96"/>
          <w:sz w:val="22"/>
        </w:rPr>
        <w:t>Target journal</w:t>
      </w:r>
    </w:p>
    <w:p>
      <w:pPr>
        <w:spacing w:after="140"/>
        <w:jc w:val="both"/>
      </w:pPr>
      <w:r>
        <w:rPr>
          <w:rFonts w:ascii="Georgia" w:hAnsi="Georgia"/>
          <w:i w:val="0"/>
          <w:color w:val="1E1E1E"/>
          <w:sz w:val="22"/>
        </w:rPr>
        <w:t>MNRAS Letters — 1,500 word limit (exc. abstract, references, figures). Alternatively A&amp;A Letters (similar scope). The result is self-contained and quantitative, suitable for a letter rather than a full paper.</w:t>
      </w:r>
    </w:p>
    <w:p>
      <w:pPr>
        <w:spacing w:before="320" w:after="80"/>
      </w:pPr>
      <w:r>
        <w:rPr>
          <w:rFonts w:ascii="Arial" w:hAnsi="Arial"/>
          <w:b/>
          <w:color w:val="1E326E"/>
          <w:sz w:val="26"/>
        </w:rPr>
        <w:t>Abstract  (~150 words)</w:t>
      </w:r>
    </w:p>
    <w:p>
      <w:pPr>
        <w:spacing w:before="40" w:after="80"/>
        <w:pBdr>
          <w:bottom w:val="single" w:sz="6" w:space="1" w:color="AAAAAA"/>
        </w:pBdr>
      </w:pPr>
    </w:p>
    <w:p>
      <w:pPr>
        <w:spacing w:after="140"/>
        <w:jc w:val="both"/>
      </w:pPr>
      <w:r>
        <w:rPr>
          <w:rFonts w:ascii="Georgia" w:hAnsi="Georgia"/>
          <w:i w:val="0"/>
          <w:color w:val="1E1E1E"/>
          <w:sz w:val="22"/>
        </w:rPr>
        <w:t>We use data from the Galaxy and Mass Assembly (GAMA) DR4 survey to test whether the correlation between galaxy colour (u−r) and local environment is mediated by group halo mass. Applying partial correlation analysis — residualising both colour and environment measures against log halo mass — we find a striking dependence on galaxy type. For the red sequence (visually classified ellipticals, N~1,300), the colour–environment correlation collapses entirely once halo mass is controlled for (partial r ~0.03, p &gt; 0.3), indicating that halo mass fully accounts for any environmental signal. In contrast, for the full galaxy population (N~22,500), approximately half the correlation survives halo mass control (raw r ~0.24, partial r ~0.11, p &lt; 10⁻⁶⁰), pointing to an independent large-scale structure effect on blue/green-valley galaxies. These results suggest that environmental quenching of the red sequence operates exclusively through the group halo, while pre-quenching colour gradients across the blue cloud retain an additional sensitivity to large-scale structure beyond halo mass.</w:t>
      </w:r>
    </w:p>
    <w:p>
      <w:pPr>
        <w:spacing w:before="320" w:after="80"/>
      </w:pPr>
      <w:r>
        <w:rPr>
          <w:rFonts w:ascii="Arial" w:hAnsi="Arial"/>
          <w:b/>
          <w:color w:val="1E326E"/>
          <w:sz w:val="26"/>
        </w:rPr>
        <w:t>1.  Introduction  (~300 words)</w:t>
      </w:r>
    </w:p>
    <w:p>
      <w:pPr>
        <w:spacing w:before="40" w:after="80"/>
        <w:pBdr>
          <w:bottom w:val="single" w:sz="6" w:space="1" w:color="AAAAAA"/>
        </w:pBdr>
      </w:pPr>
    </w:p>
    <w:p>
      <w:pPr>
        <w:spacing w:after="100"/>
        <w:ind w:left="432"/>
      </w:pPr>
      <w:r>
        <w:rPr>
          <w:rFonts w:ascii="Arial" w:hAnsi="Arial"/>
          <w:i/>
          <w:color w:val="646464"/>
          <w:sz w:val="20"/>
        </w:rPr>
        <w:t>→  Set up the question; cite key prior work; state the gap this paper fills.</w:t>
      </w:r>
    </w:p>
    <w:p>
      <w:pPr>
        <w:spacing w:before="200" w:after="60"/>
      </w:pPr>
      <w:r>
        <w:rPr>
          <w:rFonts w:ascii="Arial" w:hAnsi="Arial"/>
          <w:b/>
          <w:color w:val="3C5A96"/>
          <w:sz w:val="22"/>
        </w:rPr>
        <w:t>1.1  The colour–environment relation</w:t>
      </w:r>
    </w:p>
    <w:p>
      <w:pPr>
        <w:spacing w:after="140"/>
        <w:jc w:val="both"/>
      </w:pPr>
      <w:r>
        <w:rPr>
          <w:rFonts w:ascii="Georgia" w:hAnsi="Georgia"/>
          <w:i w:val="0"/>
          <w:color w:val="1E1E1E"/>
          <w:sz w:val="22"/>
        </w:rPr>
        <w:t>Establish that galaxy colour (and morphology) correlates with environment — denser environments host redder, more massive, earlier-type galaxies. Cite: Dressler (1980) morphology–density; Baldry et al. (2006) colour bimodality; Peng et al. (2010) mass and environment quenching.</w:t>
      </w:r>
    </w:p>
    <w:p>
      <w:pPr>
        <w:spacing w:before="200" w:after="60"/>
      </w:pPr>
      <w:r>
        <w:rPr>
          <w:rFonts w:ascii="Arial" w:hAnsi="Arial"/>
          <w:b/>
          <w:color w:val="3C5A96"/>
          <w:sz w:val="22"/>
        </w:rPr>
        <w:t>1.2  The role of halo mass</w:t>
      </w:r>
    </w:p>
    <w:p>
      <w:pPr>
        <w:spacing w:after="140"/>
        <w:jc w:val="both"/>
      </w:pPr>
      <w:r>
        <w:rPr>
          <w:rFonts w:ascii="Georgia" w:hAnsi="Georgia"/>
          <w:i w:val="0"/>
          <w:color w:val="1E1E1E"/>
          <w:sz w:val="22"/>
        </w:rPr>
        <w:t>Halo mass is the primary structural link between galaxy properties and environment. Cite: Wechsler &amp; Tinker (2018) review; Yang et al. (2009) group catalogue studies. The question of whether large-scale structure beyond the halo has an independent effect remains open — cite: Haas et al. (2012), Carollo et al. (2013).</w:t>
      </w:r>
    </w:p>
    <w:p>
      <w:pPr>
        <w:spacing w:before="200" w:after="60"/>
      </w:pPr>
      <w:r>
        <w:rPr>
          <w:rFonts w:ascii="Arial" w:hAnsi="Arial"/>
          <w:b/>
          <w:color w:val="3C5A96"/>
          <w:sz w:val="22"/>
        </w:rPr>
        <w:t>1.3  This work</w:t>
      </w:r>
    </w:p>
    <w:p>
      <w:pPr>
        <w:spacing w:after="140"/>
        <w:jc w:val="both"/>
      </w:pPr>
      <w:r>
        <w:rPr>
          <w:rFonts w:ascii="Georgia" w:hAnsi="Georgia"/>
          <w:i w:val="0"/>
          <w:color w:val="1E1E1E"/>
          <w:sz w:val="22"/>
        </w:rPr>
        <w:t>We use GAMA DR4 — one of the best-characterised spectroscopic surveys for group-scale analysis — with a partial correlation approach to cleanly separate halo mass from additional environment effects. We test at two levels: the red sequence only, and the full galaxy population. State the two main findings in one sentence each.</w:t>
      </w:r>
    </w:p>
    <w:p>
      <w:pPr>
        <w:spacing w:before="320" w:after="80"/>
      </w:pPr>
      <w:r>
        <w:rPr>
          <w:rFonts w:ascii="Arial" w:hAnsi="Arial"/>
          <w:b/>
          <w:color w:val="1E326E"/>
          <w:sz w:val="26"/>
        </w:rPr>
        <w:t>2.  Data  (~200 words)</w:t>
      </w:r>
    </w:p>
    <w:p>
      <w:pPr>
        <w:spacing w:before="40" w:after="80"/>
        <w:pBdr>
          <w:bottom w:val="single" w:sz="6" w:space="1" w:color="AAAAAA"/>
        </w:pBdr>
      </w:pPr>
    </w:p>
    <w:p>
      <w:pPr>
        <w:spacing w:after="100"/>
        <w:ind w:left="432"/>
      </w:pPr>
      <w:r>
        <w:rPr>
          <w:rFonts w:ascii="Arial" w:hAnsi="Arial"/>
          <w:i/>
          <w:color w:val="646464"/>
          <w:sz w:val="20"/>
        </w:rPr>
        <w:t>→  GAMA is well-known — keep this brief. Table of catalogues used.</w:t>
      </w:r>
    </w:p>
    <w:p>
      <w:pPr>
        <w:pStyle w:val="ListBullet"/>
        <w:spacing w:after="80"/>
      </w:pPr>
      <w:r>
        <w:rPr>
          <w:rFonts w:ascii="Georgia" w:hAnsi="Georgia"/>
          <w:color w:val="1E1E1E"/>
          <w:sz w:val="22"/>
        </w:rPr>
        <w:t>GAMA DR4 (Bellstedt et al. 2020 / Driver et al. 2022) — equatorial fields, r &lt; 19.8 mag, high spectroscopic completeness (&gt;98%).</w:t>
      </w:r>
    </w:p>
    <w:p>
      <w:pPr>
        <w:pStyle w:val="ListBullet"/>
        <w:spacing w:after="80"/>
      </w:pPr>
      <w:r>
        <w:rPr>
          <w:rFonts w:ascii="Georgia" w:hAnsi="Georgia"/>
          <w:color w:val="1E1E1E"/>
          <w:sz w:val="22"/>
        </w:rPr>
        <w:t>StellarMassesLambdarv24 — rest-frame u−r colour and stellar mass (logmstar) from MAGPHYS SED fitting (da Cunha et al. 2008).</w:t>
      </w:r>
    </w:p>
    <w:p>
      <w:pPr>
        <w:pStyle w:val="ListBullet"/>
        <w:spacing w:after="80"/>
      </w:pPr>
      <w:r>
        <w:rPr>
          <w:rFonts w:ascii="Georgia" w:hAnsi="Georgia"/>
          <w:color w:val="1E1E1E"/>
          <w:sz w:val="22"/>
        </w:rPr>
        <w:t>EnvironmentMeasuresv06 — four local density estimators: CountInCyl, DistanceTo5nn, SurfaceDensity, AGEDenPar (Brough et al. 2013).</w:t>
      </w:r>
    </w:p>
    <w:p>
      <w:pPr>
        <w:pStyle w:val="ListBullet"/>
        <w:spacing w:after="80"/>
      </w:pPr>
      <w:r>
        <w:rPr>
          <w:rFonts w:ascii="Georgia" w:hAnsi="Georgia"/>
          <w:color w:val="1E1E1E"/>
          <w:sz w:val="22"/>
        </w:rPr>
        <w:t>G3CFoFGroupv10 — friends-of-friends group catalogue; halo mass proxy MassA and group luminosity TotRmag (Robotham et al. 2011).</w:t>
      </w:r>
    </w:p>
    <w:p>
      <w:pPr>
        <w:pStyle w:val="ListBullet"/>
        <w:spacing w:after="80"/>
      </w:pPr>
      <w:r>
        <w:rPr>
          <w:rFonts w:ascii="Georgia" w:hAnsi="Georgia"/>
          <w:color w:val="1E1E1E"/>
          <w:sz w:val="22"/>
        </w:rPr>
        <w:t>VisualMorphologyv03 — visual classification of ellipticals (Kelvin et al.).</w:t>
      </w:r>
    </w:p>
    <w:p>
      <w:pPr>
        <w:spacing w:after="140"/>
        <w:jc w:val="both"/>
      </w:pPr>
      <w:r>
        <w:rPr>
          <w:rFonts w:ascii="Georgia" w:hAnsi="Georgia"/>
          <w:i w:val="0"/>
          <w:color w:val="1E1E1E"/>
          <w:sz w:val="22"/>
        </w:rPr>
        <w:t>After quality cuts (flag == 0 for all environment measures, SurfaceDensity &lt; 50, CountInCyl &gt; 0, MassA &gt; 0) the working samples are: ellipticals in groups N = 1,270; all galaxy types in groups N = 22,531.</w:t>
      </w:r>
    </w:p>
    <w:p>
      <w:pPr>
        <w:spacing w:before="320" w:after="80"/>
      </w:pPr>
      <w:r>
        <w:rPr>
          <w:rFonts w:ascii="Arial" w:hAnsi="Arial"/>
          <w:b/>
          <w:color w:val="1E326E"/>
          <w:sz w:val="26"/>
        </w:rPr>
        <w:t>3.  Method  (~150 words)</w:t>
      </w:r>
    </w:p>
    <w:p>
      <w:pPr>
        <w:spacing w:before="40" w:after="80"/>
        <w:pBdr>
          <w:bottom w:val="single" w:sz="6" w:space="1" w:color="AAAAAA"/>
        </w:pBdr>
      </w:pPr>
    </w:p>
    <w:p>
      <w:pPr>
        <w:spacing w:after="100"/>
        <w:ind w:left="432"/>
      </w:pPr>
      <w:r>
        <w:rPr>
          <w:rFonts w:ascii="Arial" w:hAnsi="Arial"/>
          <w:i/>
          <w:color w:val="646464"/>
          <w:sz w:val="20"/>
        </w:rPr>
        <w:t>→  Partial correlation via residualisation — simple, transparent, reproducible.</w:t>
      </w:r>
    </w:p>
    <w:p>
      <w:pPr>
        <w:spacing w:before="200" w:after="60"/>
      </w:pPr>
      <w:r>
        <w:rPr>
          <w:rFonts w:ascii="Arial" w:hAnsi="Arial"/>
          <w:b/>
          <w:color w:val="3C5A96"/>
          <w:sz w:val="22"/>
        </w:rPr>
        <w:t>3.1  Partial correlation by residualisation</w:t>
      </w:r>
    </w:p>
    <w:p>
      <w:pPr>
        <w:spacing w:after="140"/>
        <w:jc w:val="both"/>
      </w:pPr>
      <w:r>
        <w:rPr>
          <w:rFonts w:ascii="Georgia" w:hAnsi="Georgia"/>
          <w:i w:val="0"/>
          <w:color w:val="1E1E1E"/>
          <w:sz w:val="22"/>
        </w:rPr>
        <w:t>For each pair (colour y, environment x), we fit a linear regression of y on log₁₀(MassA) and retain residuals ε_y; likewise ε_x. The Pearson and Spearman correlations of ε_y and ε_x give the partial correlation controlling for halo mass. Significance is assessed by t-test on the Pearson r. We repeat using TotRmag as an alternative halo mass proxy as a robustness check.</w:t>
      </w:r>
    </w:p>
    <w:p>
      <w:pPr>
        <w:spacing w:before="200" w:after="60"/>
      </w:pPr>
      <w:r>
        <w:rPr>
          <w:rFonts w:ascii="Arial" w:hAnsi="Arial"/>
          <w:b/>
          <w:color w:val="3C5A96"/>
          <w:sz w:val="22"/>
        </w:rPr>
        <w:t>3.2  Two levels of analysis</w:t>
      </w:r>
    </w:p>
    <w:p>
      <w:pPr>
        <w:pStyle w:val="ListBullet"/>
        <w:spacing w:after="80"/>
      </w:pPr>
      <w:r>
        <w:rPr>
          <w:rFonts w:ascii="Georgia" w:hAnsi="Georgia"/>
          <w:color w:val="1E1E1E"/>
          <w:sz w:val="22"/>
        </w:rPr>
        <w:t>Individual galaxy level: each galaxy's own colour vs its own environment measure.</w:t>
      </w:r>
    </w:p>
    <w:p>
      <w:pPr>
        <w:pStyle w:val="ListBullet"/>
        <w:spacing w:after="80"/>
      </w:pPr>
      <w:r>
        <w:rPr>
          <w:rFonts w:ascii="Georgia" w:hAnsi="Georgia"/>
          <w:color w:val="1E1E1E"/>
          <w:sz w:val="22"/>
        </w:rPr>
        <w:t>Group level: mean colour (and red fraction) per group vs mean environment measure per group — reduces within-group positional scatter.</w:t>
      </w:r>
    </w:p>
    <w:p>
      <w:pPr>
        <w:spacing w:before="320" w:after="80"/>
      </w:pPr>
      <w:r>
        <w:rPr>
          <w:rFonts w:ascii="Arial" w:hAnsi="Arial"/>
          <w:b/>
          <w:color w:val="1E326E"/>
          <w:sz w:val="26"/>
        </w:rPr>
        <w:t>4.  Results  (~400 words)</w:t>
      </w:r>
    </w:p>
    <w:p>
      <w:pPr>
        <w:spacing w:before="40" w:after="80"/>
        <w:pBdr>
          <w:bottom w:val="single" w:sz="6" w:space="1" w:color="AAAAAA"/>
        </w:pBdr>
      </w:pPr>
    </w:p>
    <w:p>
      <w:pPr>
        <w:spacing w:before="200" w:after="60"/>
      </w:pPr>
      <w:r>
        <w:rPr>
          <w:rFonts w:ascii="Arial" w:hAnsi="Arial"/>
          <w:b/>
          <w:color w:val="3C5A96"/>
          <w:sz w:val="22"/>
        </w:rPr>
        <w:t>4.1  Raw correlations</w:t>
      </w:r>
    </w:p>
    <w:p>
      <w:pPr>
        <w:spacing w:after="140"/>
        <w:jc w:val="both"/>
      </w:pPr>
      <w:r>
        <w:rPr>
          <w:rFonts w:ascii="Georgia" w:hAnsi="Georgia"/>
          <w:i w:val="0"/>
          <w:color w:val="1E1E1E"/>
          <w:sz w:val="22"/>
        </w:rPr>
        <w:t>For ellipticals, raw Pearson r ~ 0.07–0.13 (individual and group level). For the full population, raw r ~ 0.18–0.24, consistent with the known colour–density relation. Reproduce key values in Table 1.</w:t>
      </w:r>
    </w:p>
    <w:p>
      <w:pPr>
        <w:spacing w:after="100"/>
        <w:ind w:left="432"/>
      </w:pPr>
      <w:r>
        <w:rPr>
          <w:rFonts w:ascii="Arial" w:hAnsi="Arial"/>
          <w:i/>
          <w:color w:val="646464"/>
          <w:sz w:val="20"/>
        </w:rPr>
        <w:t>→  Table 1: raw and partial r for both samples, all four environment measures, individual and group level.</w:t>
      </w:r>
    </w:p>
    <w:p>
      <w:pPr>
        <w:spacing w:before="200" w:after="60"/>
      </w:pPr>
      <w:r>
        <w:rPr>
          <w:rFonts w:ascii="Arial" w:hAnsi="Arial"/>
          <w:b/>
          <w:color w:val="3C5A96"/>
          <w:sz w:val="22"/>
        </w:rPr>
        <w:t>4.2  After controlling for halo mass — ellipticals</w:t>
      </w:r>
    </w:p>
    <w:p>
      <w:pPr>
        <w:spacing w:after="140"/>
        <w:jc w:val="both"/>
      </w:pPr>
      <w:r>
        <w:rPr>
          <w:rFonts w:ascii="Georgia" w:hAnsi="Georgia"/>
          <w:i w:val="0"/>
          <w:color w:val="1E1E1E"/>
          <w:sz w:val="22"/>
        </w:rPr>
        <w:t>Partial r collapses to ~0.00–0.05 at both the individual and group level for all four environment measures; none are significant (p &gt; 0.3). The TotRmag robustness check confirms this. Halo mass fully accounts for the colour–environment relation in the red sequence.</w:t>
      </w:r>
    </w:p>
    <w:p>
      <w:pPr>
        <w:spacing w:before="200" w:after="60"/>
      </w:pPr>
      <w:r>
        <w:rPr>
          <w:rFonts w:ascii="Arial" w:hAnsi="Arial"/>
          <w:b/>
          <w:color w:val="3C5A96"/>
          <w:sz w:val="22"/>
        </w:rPr>
        <w:t>4.3  After controlling for halo mass — full population</w:t>
      </w:r>
    </w:p>
    <w:p>
      <w:pPr>
        <w:spacing w:after="140"/>
        <w:jc w:val="both"/>
      </w:pPr>
      <w:r>
        <w:rPr>
          <w:rFonts w:ascii="Georgia" w:hAnsi="Georgia"/>
          <w:i w:val="0"/>
          <w:color w:val="1E1E1E"/>
          <w:sz w:val="22"/>
        </w:rPr>
        <w:t>Partial r ~ 0.10–0.12 at the individual level and ~0.13–0.16 at the group level, all highly significant (p &lt; 10⁻²²). Halo mass control reduces the raw correlation by ~50% but a substantial independent environment signal remains. The red fraction per group shows the same pattern (partial r ~ 0.08–0.14).</w:t>
      </w:r>
    </w:p>
    <w:p>
      <w:pPr>
        <w:spacing w:after="100"/>
        <w:ind w:left="432"/>
      </w:pPr>
      <w:r>
        <w:rPr>
          <w:rFonts w:ascii="Arial" w:hAnsi="Arial"/>
          <w:i/>
          <w:color w:val="646464"/>
          <w:sz w:val="20"/>
        </w:rPr>
        <w:t>→  Figure 1: 2×4 panel — top row raw scatter, bottom row residual scatter (group level, full population). Annotated with raw and partial r.</w:t>
      </w:r>
    </w:p>
    <w:p>
      <w:pPr>
        <w:spacing w:before="200" w:after="60"/>
      </w:pPr>
      <w:r>
        <w:rPr>
          <w:rFonts w:ascii="Arial" w:hAnsi="Arial"/>
          <w:b/>
          <w:color w:val="3C5A96"/>
          <w:sz w:val="22"/>
        </w:rPr>
        <w:t>4.4  The contrast between samples</w:t>
      </w:r>
    </w:p>
    <w:p>
      <w:pPr>
        <w:spacing w:after="140"/>
        <w:jc w:val="both"/>
      </w:pPr>
      <w:r>
        <w:rPr>
          <w:rFonts w:ascii="Georgia" w:hAnsi="Georgia"/>
          <w:i w:val="0"/>
          <w:color w:val="1E1E1E"/>
          <w:sz w:val="22"/>
        </w:rPr>
        <w:t>The divergence between elliptical-only and full-population results is the key finding. It implies the residual environment signal in the full population comes predominantly from blue/green-valley galaxies, not from the red sequence. Pre-selected red galaxies show no environment effect once their halo is known.</w:t>
      </w:r>
    </w:p>
    <w:p>
      <w:pPr>
        <w:spacing w:before="320" w:after="80"/>
      </w:pPr>
      <w:r>
        <w:rPr>
          <w:rFonts w:ascii="Arial" w:hAnsi="Arial"/>
          <w:b/>
          <w:color w:val="1E326E"/>
          <w:sz w:val="26"/>
        </w:rPr>
        <w:t>5.  Discussion  (~250 words)</w:t>
      </w:r>
    </w:p>
    <w:p>
      <w:pPr>
        <w:spacing w:before="40" w:after="80"/>
        <w:pBdr>
          <w:bottom w:val="single" w:sz="6" w:space="1" w:color="AAAAAA"/>
        </w:pBdr>
      </w:pPr>
    </w:p>
    <w:p>
      <w:pPr>
        <w:spacing w:before="200" w:after="60"/>
      </w:pPr>
      <w:r>
        <w:rPr>
          <w:rFonts w:ascii="Arial" w:hAnsi="Arial"/>
          <w:b/>
          <w:color w:val="3C5A96"/>
          <w:sz w:val="22"/>
        </w:rPr>
        <w:t>5.1  Halo quenching of the red sequence</w:t>
      </w:r>
    </w:p>
    <w:p>
      <w:pPr>
        <w:spacing w:after="140"/>
        <w:jc w:val="both"/>
      </w:pPr>
      <w:r>
        <w:rPr>
          <w:rFonts w:ascii="Georgia" w:hAnsi="Georgia"/>
          <w:i w:val="0"/>
          <w:color w:val="1E1E1E"/>
          <w:sz w:val="22"/>
        </w:rPr>
        <w:t>Consistent with the halo quenching model (Dekel &amp; Birnboim 2006; Woo et al. 2013): once a galaxy crosses the mass threshold and enters a sufficiently massive halo, its colour is set. Additional large-scale structure carries no further information. Contrast with satellite quenching models that invoke ram-pressure or strangulation — these predict residual signals at fixed halo mass that we do not see in ellipticals.</w:t>
      </w:r>
    </w:p>
    <w:p>
      <w:pPr>
        <w:spacing w:before="200" w:after="60"/>
      </w:pPr>
      <w:r>
        <w:rPr>
          <w:rFonts w:ascii="Arial" w:hAnsi="Arial"/>
          <w:b/>
          <w:color w:val="3C5A96"/>
          <w:sz w:val="22"/>
        </w:rPr>
        <w:t>5.2  Residual signal in the full population</w:t>
      </w:r>
    </w:p>
    <w:p>
      <w:pPr>
        <w:spacing w:after="140"/>
        <w:jc w:val="both"/>
      </w:pPr>
      <w:r>
        <w:rPr>
          <w:rFonts w:ascii="Georgia" w:hAnsi="Georgia"/>
          <w:i w:val="0"/>
          <w:color w:val="1E1E1E"/>
          <w:sz w:val="22"/>
        </w:rPr>
        <w:t>The ~50% residual correlation across all types likely reflects two populations: (1) blue star-forming galaxies in low-density environments whose colour is sensitive to large-scale structure (filament/void location) independently of halo mass; (2) green-valley galaxies in transition, where quenching is ongoing and halo mass has not yet fully determined the outcome. Filament finding catalogues (e.g. GAMA FilamentFinding) could be used to test this directly.</w:t>
      </w:r>
    </w:p>
    <w:p>
      <w:pPr>
        <w:spacing w:before="200" w:after="60"/>
      </w:pPr>
      <w:r>
        <w:rPr>
          <w:rFonts w:ascii="Arial" w:hAnsi="Arial"/>
          <w:b/>
          <w:color w:val="3C5A96"/>
          <w:sz w:val="22"/>
        </w:rPr>
        <w:t>5.3  Caveats</w:t>
      </w:r>
    </w:p>
    <w:p>
      <w:pPr>
        <w:pStyle w:val="ListBullet"/>
        <w:spacing w:after="80"/>
      </w:pPr>
      <w:r>
        <w:rPr>
          <w:rFonts w:ascii="Georgia" w:hAnsi="Georgia"/>
          <w:color w:val="1E1E1E"/>
          <w:sz w:val="22"/>
        </w:rPr>
        <w:t>MassA is a proxy for halo mass, not a direct measurement. Abundance matching uncertainty may leave residual halo mass variance in the partial residuals.</w:t>
      </w:r>
    </w:p>
    <w:p>
      <w:pPr>
        <w:pStyle w:val="ListBullet"/>
        <w:spacing w:after="80"/>
      </w:pPr>
      <w:r>
        <w:rPr>
          <w:rFonts w:ascii="Georgia" w:hAnsi="Georgia"/>
          <w:color w:val="1E1E1E"/>
          <w:sz w:val="22"/>
        </w:rPr>
        <w:t>Elliptical sample (N=1,270) is small; result is statistically consistent with zero but a larger morphologically classified sample would tighten constraints.</w:t>
      </w:r>
    </w:p>
    <w:p>
      <w:pPr>
        <w:pStyle w:val="ListBullet"/>
        <w:spacing w:after="80"/>
      </w:pPr>
      <w:r>
        <w:rPr>
          <w:rFonts w:ascii="Georgia" w:hAnsi="Georgia"/>
          <w:color w:val="1E1E1E"/>
          <w:sz w:val="22"/>
        </w:rPr>
        <w:t>Analysis restricted to GAMA equatorial fields; cosmic variance possible.</w:t>
      </w:r>
    </w:p>
    <w:p>
      <w:pPr>
        <w:spacing w:before="320" w:after="80"/>
      </w:pPr>
      <w:r>
        <w:rPr>
          <w:rFonts w:ascii="Arial" w:hAnsi="Arial"/>
          <w:b/>
          <w:color w:val="1E326E"/>
          <w:sz w:val="26"/>
        </w:rPr>
        <w:t>6.  Conclusions  (~100 words)</w:t>
      </w:r>
    </w:p>
    <w:p>
      <w:pPr>
        <w:spacing w:before="40" w:after="80"/>
        <w:pBdr>
          <w:bottom w:val="single" w:sz="6" w:space="1" w:color="AAAAAA"/>
        </w:pBdr>
      </w:pPr>
    </w:p>
    <w:p>
      <w:pPr>
        <w:pStyle w:val="ListBullet"/>
        <w:spacing w:after="80"/>
      </w:pPr>
      <w:r>
        <w:rPr>
          <w:rFonts w:ascii="Georgia" w:hAnsi="Georgia"/>
          <w:color w:val="1E1E1E"/>
          <w:sz w:val="22"/>
        </w:rPr>
        <w:t>The colour–environment correlation for visually classified ellipticals is fully explained by halo mass: partial r ~ 0 after controlling for log MassA.</w:t>
      </w:r>
    </w:p>
    <w:p>
      <w:pPr>
        <w:pStyle w:val="ListBullet"/>
        <w:spacing w:after="80"/>
      </w:pPr>
      <w:r>
        <w:rPr>
          <w:rFonts w:ascii="Georgia" w:hAnsi="Georgia"/>
          <w:color w:val="1E1E1E"/>
          <w:sz w:val="22"/>
        </w:rPr>
        <w:t>For the full galaxy population, ~50% of the colour–environment signal survives halo mass control, indicating an independent large-scale structure contribution.</w:t>
      </w:r>
    </w:p>
    <w:p>
      <w:pPr>
        <w:pStyle w:val="ListBullet"/>
        <w:spacing w:after="80"/>
      </w:pPr>
      <w:r>
        <w:rPr>
          <w:rFonts w:ascii="Georgia" w:hAnsi="Georgia"/>
          <w:color w:val="1E1E1E"/>
          <w:sz w:val="22"/>
        </w:rPr>
        <w:t>Environmental quenching of the red sequence operates through the group halo; colour gradients across the blue cloud retain sensitivity to large-scale structure.</w:t>
      </w:r>
    </w:p>
    <w:p>
      <w:pPr>
        <w:pStyle w:val="ListBullet"/>
        <w:spacing w:after="80"/>
      </w:pPr>
      <w:r>
        <w:rPr>
          <w:rFonts w:ascii="Georgia" w:hAnsi="Georgia"/>
          <w:color w:val="1E1E1E"/>
          <w:sz w:val="22"/>
        </w:rPr>
        <w:t>Future work: test whether the residual signal traces filament membership using the GAMA FilamentFinding catalogue.</w:t>
      </w:r>
    </w:p>
    <w:p>
      <w:pPr>
        <w:spacing w:before="320" w:after="80"/>
      </w:pPr>
      <w:r>
        <w:rPr>
          <w:rFonts w:ascii="Arial" w:hAnsi="Arial"/>
          <w:b/>
          <w:color w:val="1E326E"/>
          <w:sz w:val="26"/>
        </w:rPr>
        <w:t>Figures and Tables</w:t>
      </w:r>
    </w:p>
    <w:p>
      <w:pPr>
        <w:spacing w:before="40" w:after="80"/>
        <w:pBdr>
          <w:bottom w:val="single" w:sz="6" w:space="1" w:color="AAAAAA"/>
        </w:pBdr>
      </w:pPr>
    </w:p>
    <w:p>
      <w:pPr>
        <w:spacing w:after="140"/>
        <w:jc w:val="both"/>
      </w:pPr>
      <w:r>
        <w:rPr>
          <w:rFonts w:ascii="Georgia" w:hAnsi="Georgia"/>
          <w:i w:val="0"/>
          <w:color w:val="1E1E1E"/>
          <w:sz w:val="22"/>
        </w:rPr>
        <w:t>MNRAS Letters allows up to ~4 figures. Suggested set:</w:t>
      </w:r>
    </w:p>
    <w:p>
      <w:pPr>
        <w:pStyle w:val="ListBullet"/>
        <w:spacing w:after="80"/>
      </w:pPr>
      <w:r>
        <w:rPr>
          <w:rFonts w:ascii="Georgia" w:hAnsi="Georgia"/>
          <w:color w:val="1E1E1E"/>
          <w:sz w:val="22"/>
        </w:rPr>
        <w:t>Figure 1 — 2×4 scatter panel: raw (top) vs residual (bottom) for group-level mean u−r vs four environment measures, full population. [Already generated]</w:t>
      </w:r>
    </w:p>
    <w:p>
      <w:pPr>
        <w:pStyle w:val="ListBullet"/>
        <w:spacing w:after="80"/>
      </w:pPr>
      <w:r>
        <w:rPr>
          <w:rFonts w:ascii="Georgia" w:hAnsi="Georgia"/>
          <w:color w:val="1E1E1E"/>
          <w:sz w:val="22"/>
        </w:rPr>
        <w:t>Figure 2 — Comparison bar chart: raw r vs partial r for both samples (ellipticals and full population) side by side.</w:t>
      </w:r>
    </w:p>
    <w:p>
      <w:pPr>
        <w:pStyle w:val="ListBullet"/>
        <w:spacing w:after="80"/>
      </w:pPr>
      <w:r>
        <w:rPr>
          <w:rFonts w:ascii="Georgia" w:hAnsi="Georgia"/>
          <w:color w:val="1E1E1E"/>
          <w:sz w:val="22"/>
        </w:rPr>
        <w:t>Table 1 — Raw and partial Pearson r (with p-values) for all environment measures at individual and group level, both samples.</w:t>
      </w:r>
    </w:p>
    <w:p>
      <w:pPr>
        <w:spacing w:before="320" w:after="80"/>
      </w:pPr>
      <w:r>
        <w:rPr>
          <w:rFonts w:ascii="Arial" w:hAnsi="Arial"/>
          <w:b/>
          <w:color w:val="1E326E"/>
          <w:sz w:val="26"/>
        </w:rPr>
        <w:t>Word Budget (MNRAS Letters limit: 1,500 words)</w:t>
      </w:r>
    </w:p>
    <w:p>
      <w:pPr>
        <w:spacing w:before="40" w:after="80"/>
        <w:pBdr>
          <w:bottom w:val="single" w:sz="6" w:space="1" w:color="AAAAAA"/>
        </w:pBdr>
      </w:pPr>
    </w:p>
    <w:tbl>
      <w:tblPr>
        <w:tblStyle w:val="TableGrid"/>
        <w:tblW w:type="auto" w:w="0"/>
        <w:tblLook w:firstColumn="1" w:firstRow="1" w:lastColumn="0" w:lastRow="0" w:noHBand="0" w:noVBand="1" w:val="04A0"/>
      </w:tblPr>
      <w:tblGrid>
        <w:gridCol w:w="4392"/>
        <w:gridCol w:w="4392"/>
      </w:tblGrid>
      <w:tr>
        <w:tc>
          <w:tcPr>
            <w:tcW w:type="dxa" w:w="4392"/>
          </w:tcPr>
          <w:p>
            <w:r>
              <w:rPr>
                <w:b/>
                <w:sz w:val="20"/>
              </w:rPr>
              <w:t>Section</w:t>
            </w:r>
          </w:p>
        </w:tc>
        <w:tc>
          <w:tcPr>
            <w:tcW w:type="dxa" w:w="4392"/>
          </w:tcPr>
          <w:p>
            <w:r>
              <w:rPr>
                <w:b/>
                <w:sz w:val="20"/>
              </w:rPr>
              <w:t>Words</w:t>
            </w:r>
          </w:p>
        </w:tc>
      </w:tr>
      <w:tr>
        <w:tc>
          <w:tcPr>
            <w:tcW w:type="dxa" w:w="4392"/>
          </w:tcPr>
          <w:p>
            <w:r>
              <w:rPr>
                <w:sz w:val="20"/>
              </w:rPr>
              <w:t>Abstract</w:t>
            </w:r>
          </w:p>
        </w:tc>
        <w:tc>
          <w:tcPr>
            <w:tcW w:type="dxa" w:w="4392"/>
          </w:tcPr>
          <w:p>
            <w:r>
              <w:rPr>
                <w:sz w:val="20"/>
              </w:rPr>
              <w:t>~150</w:t>
            </w:r>
          </w:p>
        </w:tc>
      </w:tr>
      <w:tr>
        <w:tc>
          <w:tcPr>
            <w:tcW w:type="dxa" w:w="4392"/>
          </w:tcPr>
          <w:p>
            <w:r>
              <w:rPr>
                <w:sz w:val="20"/>
              </w:rPr>
              <w:t>Introduction</w:t>
            </w:r>
          </w:p>
        </w:tc>
        <w:tc>
          <w:tcPr>
            <w:tcW w:type="dxa" w:w="4392"/>
          </w:tcPr>
          <w:p>
            <w:r>
              <w:rPr>
                <w:sz w:val="20"/>
              </w:rPr>
              <w:t>~300</w:t>
            </w:r>
          </w:p>
        </w:tc>
      </w:tr>
      <w:tr>
        <w:tc>
          <w:tcPr>
            <w:tcW w:type="dxa" w:w="4392"/>
          </w:tcPr>
          <w:p>
            <w:r>
              <w:rPr>
                <w:sz w:val="20"/>
              </w:rPr>
              <w:t>Data</w:t>
            </w:r>
          </w:p>
        </w:tc>
        <w:tc>
          <w:tcPr>
            <w:tcW w:type="dxa" w:w="4392"/>
          </w:tcPr>
          <w:p>
            <w:r>
              <w:rPr>
                <w:sz w:val="20"/>
              </w:rPr>
              <w:t>~200</w:t>
            </w:r>
          </w:p>
        </w:tc>
      </w:tr>
      <w:tr>
        <w:tc>
          <w:tcPr>
            <w:tcW w:type="dxa" w:w="4392"/>
          </w:tcPr>
          <w:p>
            <w:r>
              <w:rPr>
                <w:sz w:val="20"/>
              </w:rPr>
              <w:t>Method</w:t>
            </w:r>
          </w:p>
        </w:tc>
        <w:tc>
          <w:tcPr>
            <w:tcW w:type="dxa" w:w="4392"/>
          </w:tcPr>
          <w:p>
            <w:r>
              <w:rPr>
                <w:sz w:val="20"/>
              </w:rPr>
              <w:t>~150</w:t>
            </w:r>
          </w:p>
        </w:tc>
      </w:tr>
      <w:tr>
        <w:tc>
          <w:tcPr>
            <w:tcW w:type="dxa" w:w="4392"/>
          </w:tcPr>
          <w:p>
            <w:r>
              <w:rPr>
                <w:sz w:val="20"/>
              </w:rPr>
              <w:t>Results</w:t>
            </w:r>
          </w:p>
        </w:tc>
        <w:tc>
          <w:tcPr>
            <w:tcW w:type="dxa" w:w="4392"/>
          </w:tcPr>
          <w:p>
            <w:r>
              <w:rPr>
                <w:sz w:val="20"/>
              </w:rPr>
              <w:t>~400</w:t>
            </w:r>
          </w:p>
        </w:tc>
      </w:tr>
      <w:tr>
        <w:tc>
          <w:tcPr>
            <w:tcW w:type="dxa" w:w="4392"/>
          </w:tcPr>
          <w:p>
            <w:r>
              <w:rPr>
                <w:sz w:val="20"/>
              </w:rPr>
              <w:t>Discussion</w:t>
            </w:r>
          </w:p>
        </w:tc>
        <w:tc>
          <w:tcPr>
            <w:tcW w:type="dxa" w:w="4392"/>
          </w:tcPr>
          <w:p>
            <w:r>
              <w:rPr>
                <w:sz w:val="20"/>
              </w:rPr>
              <w:t>~250</w:t>
            </w:r>
          </w:p>
        </w:tc>
      </w:tr>
      <w:tr>
        <w:tc>
          <w:tcPr>
            <w:tcW w:type="dxa" w:w="4392"/>
          </w:tcPr>
          <w:p>
            <w:r>
              <w:rPr>
                <w:sz w:val="20"/>
              </w:rPr>
              <w:t>Conclusions</w:t>
            </w:r>
          </w:p>
        </w:tc>
        <w:tc>
          <w:tcPr>
            <w:tcW w:type="dxa" w:w="4392"/>
          </w:tcPr>
          <w:p>
            <w:r>
              <w:rPr>
                <w:sz w:val="20"/>
              </w:rPr>
              <w:t>~100</w:t>
            </w:r>
          </w:p>
        </w:tc>
      </w:tr>
      <w:tr>
        <w:tc>
          <w:tcPr>
            <w:tcW w:type="dxa" w:w="4392"/>
          </w:tcPr>
          <w:p>
            <w:r>
              <w:rPr>
                <w:b/>
                <w:sz w:val="20"/>
              </w:rPr>
              <w:t>TOTAL</w:t>
            </w:r>
          </w:p>
        </w:tc>
        <w:tc>
          <w:tcPr>
            <w:tcW w:type="dxa" w:w="4392"/>
          </w:tcPr>
          <w:p>
            <w:r>
              <w:rPr>
                <w:b/>
                <w:sz w:val="20"/>
              </w:rPr>
              <w:t>~1,550 → trim Discussion or Results by ~50 words</w:t>
            </w:r>
          </w:p>
        </w:tc>
      </w:tr>
    </w:tbl>
    <w:p/>
    <w:p>
      <w:pPr>
        <w:spacing w:after="140"/>
        <w:jc w:val="both"/>
      </w:pPr>
      <w:r>
        <w:rPr>
          <w:rFonts w:ascii="Georgia" w:hAnsi="Georgia"/>
          <w:i/>
          <w:color w:val="1E1E1E"/>
          <w:sz w:val="22"/>
        </w:rPr>
        <w:t>Note: references, figure captions, and the abstract are typically excluded from the MNRAS Letters word count. Confirm with the current author guidelines.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