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line="276"/>
        <w:jc w:val="center"/>
      </w:pPr>
      <w:r>
        <w:rPr>
          <w:rFonts w:ascii="Georgia" w:cs="Georgia" w:eastAsia="Georgia" w:hAnsi="Georgia"/>
          <w:b/>
          <w:bCs/>
          <w:caps/>
          <w:color w:val="1F3A5F"/>
          <w:sz w:val="26"/>
          <w:szCs w:val="26"/>
        </w:rPr>
        <w:t xml:space="preserve">HERMAN LEGACY DIGITAL</w:t>
      </w:r>
    </w:p>
    <w:p>
      <w:pPr>
        <w:spacing w:after="700" w:line="276"/>
        <w:jc w:val="center"/>
      </w:pPr>
      <w:r>
        <w:rPr>
          <w:rFonts w:ascii="Georgia" w:cs="Georgia" w:eastAsia="Georgia" w:hAnsi="Georgia"/>
          <w:i/>
          <w:iCs/>
          <w:color w:val="2E7D5B"/>
          <w:sz w:val="22"/>
          <w:szCs w:val="22"/>
        </w:rPr>
        <w:t xml:space="preserve">Business Transformation Engine</w:t>
      </w:r>
    </w:p>
    <w:p>
      <w:pPr>
        <w:pBdr>
          <w:top w:val="single" w:color="1F3A5F" w:sz="12"/>
        </w:pBdr>
        <w:spacing w:after="60"/>
        <w:jc w:val="center"/>
      </w:pPr>
    </w:p>
    <w:p>
      <w:pPr>
        <w:spacing w:after="120" w:before="260" w:line="276"/>
        <w:jc w:val="center"/>
      </w:pPr>
      <w:r>
        <w:rPr>
          <w:rFonts w:ascii="Georgia" w:cs="Georgia" w:eastAsia="Georgia" w:hAnsi="Georgia"/>
          <w:b/>
          <w:bCs/>
          <w:color w:val="1F3A5F"/>
          <w:sz w:val="52"/>
          <w:szCs w:val="52"/>
        </w:rPr>
        <w:t xml:space="preserve">Business Transformation Report</w:t>
      </w:r>
    </w:p>
    <w:p>
      <w:pPr>
        <w:spacing w:after="40" w:line="276"/>
        <w:jc w:val="center"/>
      </w:pPr>
      <w:r>
        <w:rPr>
          <w:rFonts w:ascii="Georgia" w:cs="Georgia" w:eastAsia="Georgia" w:hAnsi="Georgia"/>
          <w:b/>
          <w:bCs/>
          <w:color w:val="222222"/>
          <w:sz w:val="40"/>
          <w:szCs w:val="40"/>
        </w:rPr>
        <w:t xml:space="preserve">Venuewise</w:t>
      </w:r>
    </w:p>
    <w:p>
      <w:pPr>
        <w:spacing w:after="60" w:line="276"/>
        <w:jc w:val="center"/>
      </w:pPr>
      <w:r>
        <w:rPr>
          <w:rFonts w:ascii="Georgia" w:cs="Georgia" w:eastAsia="Georgia" w:hAnsi="Georgia"/>
          <w:i/>
          <w:iCs/>
          <w:color w:val="6B7280"/>
          <w:sz w:val="20"/>
          <w:szCs w:val="20"/>
        </w:rPr>
        <w:t xml:space="preserve">Home Huddle LLC · Western New York Youth Sports</w:t>
      </w:r>
    </w:p>
    <w:p>
      <w:pPr>
        <w:pBdr>
          <w:bottom w:val="single" w:color="1F3A5F" w:sz="12"/>
        </w:pBdr>
        <w:spacing w:after="700" w:before="40"/>
        <w:jc w:val="center"/>
      </w:pPr>
    </w:p>
    <w:p>
      <w:pPr>
        <w:spacing w:after="40" w:line="276"/>
        <w:jc w:val="center"/>
      </w:pPr>
      <w:r>
        <w:rPr>
          <w:rFonts w:ascii="Georgia" w:cs="Georgia" w:eastAsia="Georgia" w:hAnsi="Georgia"/>
          <w:color w:val="44546A"/>
          <w:sz w:val="20"/>
          <w:szCs w:val="20"/>
        </w:rPr>
        <w:t xml:space="preserve">Prepared by Herman Legacy Digital · Business Transformation Engine</w:t>
      </w:r>
    </w:p>
    <w:p>
      <w:pPr>
        <w:spacing w:after="40" w:line="276"/>
        <w:jc w:val="center"/>
      </w:pPr>
      <w:r>
        <w:rPr>
          <w:rFonts w:ascii="Georgia" w:cs="Georgia" w:eastAsia="Georgia" w:hAnsi="Georgia"/>
          <w:color w:val="44546A"/>
          <w:sz w:val="20"/>
          <w:szCs w:val="20"/>
        </w:rPr>
        <w:t xml:space="preserve">August 4, 2026</w:t>
      </w:r>
    </w:p>
    <w:p>
      <w:pPr>
        <w:spacing w:after="120" w:before="900" w:line="276"/>
        <w:jc w:val="center"/>
      </w:pPr>
      <w:r>
        <w:rPr>
          <w:rFonts w:ascii="Georgia" w:cs="Georgia" w:eastAsia="Georgia" w:hAnsi="Georgia"/>
          <w:b/>
          <w:bCs/>
          <w:caps/>
          <w:color w:val="6B7280"/>
          <w:sz w:val="16"/>
          <w:szCs w:val="16"/>
        </w:rPr>
        <w:t xml:space="preserve">CONFIDENTIAL — INTERNAL EXECUTIVE ASSEMBLY</w:t>
      </w:r>
    </w:p>
    <w:p>
      <w:pPr>
        <w:spacing w:after="120" w:before="60" w:line="276"/>
        <w:jc w:val="center"/>
      </w:pPr>
      <w:r>
        <w:rPr>
          <w:rFonts w:ascii="Georgia" w:cs="Georgia" w:eastAsia="Georgia" w:hAnsi="Georgia"/>
          <w:i/>
          <w:iCs/>
          <w:color w:val="6B7280"/>
          <w:sz w:val="16"/>
          <w:szCs w:val="16"/>
        </w:rPr>
        <w:t xml:space="preserve">Analysis only. Assembled from completed engagement work. Not a proposal, quote, or client-final deliverable. Items marked “TO BE CONFIRMED” remain subject to owner confirmation.</w:t>
      </w:r>
    </w:p>
    <w:p>
      <w:pPr>
        <w:sectPr>
          <w:pgSz w:w="12240" w:h="15840" w:orient="portrait"/>
          <w:pgMar w:top="1440" w:right="1440" w:bottom="1440" w:left="1440" w:header="708" w:footer="708" w:gutter="0"/>
          <w:pgNumType/>
          <w:docGrid w:linePitch="360"/>
        </w:sectPr>
      </w:pPr>
    </w:p>
    <w:p>
      <w:pPr>
        <w:pStyle w:val="Heading1"/>
        <w:pBdr>
          <w:bottom w:val="single" w:color="1F3A5F" w:sz="8" w:space="6"/>
        </w:pBdr>
        <w:spacing w:after="160"/>
      </w:pPr>
      <w:r>
        <w:rPr>
          <w:rFonts w:ascii="Georgia" w:cs="Georgia" w:eastAsia="Georgia" w:hAnsi="Georgia"/>
          <w:b/>
          <w:bCs/>
          <w:color w:val="1F3A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1. Executive Summary</w:t>
      </w:r>
    </w:p>
    <w:p>
      <w:pPr>
        <w:pStyle w:val="Heading3"/>
        <w:spacing w:after="70" w:before="160"/>
      </w:pPr>
      <w:r>
        <w:rPr>
          <w:rFonts w:ascii="Georgia" w:cs="Georgia" w:eastAsia="Georgia" w:hAnsi="Georgia"/>
          <w:b/>
          <w:bCs/>
          <w:color w:val="2E7D5B"/>
          <w:sz w:val="21"/>
          <w:szCs w:val="21"/>
        </w:rPr>
        <w:t xml:space="preserve">What Venuewise is</w:t>
      </w:r>
    </w:p>
    <w:p>
      <w:pPr>
        <w:spacing w:after="120" w:line="276"/>
      </w:pPr>
      <w:r>
        <w:rPr>
          <w:rFonts w:ascii="Georgia" w:cs="Georgia" w:eastAsia="Georgia" w:hAnsi="Georgia"/>
          <w:color w:val="222222"/>
          <w:sz w:val="21"/>
          <w:szCs w:val="21"/>
        </w:rPr>
        <w:t xml:space="preserve">Venuewise (operated by Home Huddle LLC) is a live, multi-tenant youth-sports and family-coordination platform serving Western New York. It is a real, running product — not a prototype — built on an engines-not-products philosophy closely aligned with the Herman Legacy Business Operating System (HL-BOS).</w:t>
      </w:r>
    </w:p>
    <w:p>
      <w:pPr>
        <w:pStyle w:val="Heading3"/>
        <w:spacing w:after="70" w:before="160"/>
      </w:pPr>
      <w:r>
        <w:rPr>
          <w:rFonts w:ascii="Georgia" w:cs="Georgia" w:eastAsia="Georgia" w:hAnsi="Georgia"/>
          <w:b/>
          <w:bCs/>
          <w:color w:val="2E7D5B"/>
          <w:sz w:val="21"/>
          <w:szCs w:val="21"/>
        </w:rPr>
        <w:t xml:space="preserve">Purpose of this report</w:t>
      </w:r>
    </w:p>
    <w:p>
      <w:pPr>
        <w:spacing w:after="120" w:line="276"/>
      </w:pPr>
      <w:r>
        <w:rPr>
          <w:rFonts w:ascii="Georgia" w:cs="Georgia" w:eastAsia="Georgia" w:hAnsi="Georgia"/>
          <w:color w:val="222222"/>
          <w:sz w:val="21"/>
          <w:szCs w:val="21"/>
        </w:rPr>
        <w:t xml:space="preserve">This document assembles the completed Herman Legacy Digital (HLD) Business Transformation engagement for Venuewise — investigation, findings, marketing strategy, creative framework, website copy and a private website preview — into one executive report. It is analysis only: it introduces no new findings and no proposal, and every commercial figure the engagement has not yet confirmed is shown as “TO BE CONFIRMED.”</w:t>
      </w:r>
    </w:p>
    <w:p>
      <w:pPr>
        <w:pStyle w:val="Heading3"/>
        <w:spacing w:after="70" w:before="160"/>
      </w:pPr>
      <w:r>
        <w:rPr>
          <w:rFonts w:ascii="Georgia" w:cs="Georgia" w:eastAsia="Georgia" w:hAnsi="Georgia"/>
          <w:b/>
          <w:bCs/>
          <w:color w:val="2E7D5B"/>
          <w:sz w:val="21"/>
          <w:szCs w:val="21"/>
        </w:rPr>
        <w:t xml:space="preserve">Current business position</w:t>
      </w:r>
    </w:p>
    <w:p>
      <w:pPr>
        <w:spacing w:after="120" w:line="276"/>
      </w:pPr>
      <w:r>
        <w:rPr>
          <w:rFonts w:ascii="Georgia" w:cs="Georgia" w:eastAsia="Georgia" w:hAnsi="Georgia"/>
          <w:color w:val="222222"/>
          <w:sz w:val="21"/>
          <w:szCs w:val="21"/>
        </w:rPr>
        <w:t xml:space="preserve">Venuewise runs on a mature, migration-managed backend: 93 row-level-security-protected tables, 69 database functions, 23 edge functions, 73 tracked migrations, live Stripe payments, and self-running cron automation. It genuinely operates — 284 SMS sent, 703 page views, 118 events, 93 calendar entries, and a live subscription were observed. The horizontal engines are complete; several sports-vertical modules are fully built and simply await customers and data.</w:t>
      </w:r>
    </w:p>
    <w:p>
      <w:pPr>
        <w:pStyle w:val="Heading3"/>
        <w:spacing w:after="70" w:before="160"/>
      </w:pPr>
      <w:r>
        <w:rPr>
          <w:rFonts w:ascii="Georgia" w:cs="Georgia" w:eastAsia="Georgia" w:hAnsi="Georgia"/>
          <w:b/>
          <w:bCs/>
          <w:color w:val="2E7D5B"/>
          <w:sz w:val="21"/>
          <w:szCs w:val="21"/>
        </w:rPr>
        <w:t xml:space="preserve">Overall diagnosis</w:t>
      </w:r>
    </w:p>
    <w:p>
      <w:pPr>
        <w:spacing w:after="120" w:line="276"/>
      </w:pPr>
      <w:r>
        <w:rPr>
          <w:rFonts w:ascii="Georgia" w:cs="Georgia" w:eastAsia="Georgia" w:hAnsi="Georgia"/>
          <w:color w:val="222222"/>
          <w:sz w:val="21"/>
          <w:szCs w:val="21"/>
        </w:rPr>
        <w:t xml:space="preserve">Deterministic HL-BTI assessment (analysis only): </w:t>
      </w:r>
      <w:r>
        <w:rPr>
          <w:rFonts w:ascii="Georgia" w:cs="Georgia" w:eastAsia="Georgia" w:hAnsi="Georgia"/>
          <w:b/>
          <w:bCs/>
          <w:color w:val="222222"/>
          <w:sz w:val="21"/>
          <w:szCs w:val="21"/>
        </w:rPr>
        <w:t xml:space="preserve">Transformation Score 47/100</w:t>
      </w:r>
      <w:r>
        <w:rPr>
          <w:rFonts w:ascii="Georgia" w:cs="Georgia" w:eastAsia="Georgia" w:hAnsi="Georgia"/>
          <w:color w:val="222222"/>
          <w:sz w:val="21"/>
          <w:szCs w:val="21"/>
        </w:rPr>
        <w:t xml:space="preserve"> — Business 72, Growth 50, Technology 40, AI readiness 20.</w:t>
      </w:r>
    </w:p>
    <w:p>
      <w:pPr>
        <w:spacing w:after="120" w:line="276"/>
      </w:pPr>
      <w:r>
        <w:rPr>
          <w:rFonts w:ascii="Georgia" w:cs="Georgia" w:eastAsia="Georgia" w:hAnsi="Georgia"/>
          <w:color w:val="222222"/>
          <w:sz w:val="21"/>
          <w:szCs w:val="21"/>
        </w:rPr>
        <w:t xml:space="preserve">The picture is consistent: a strong operational and product backbone paired with an under-developed demand engine and a pronounced artificial-intelligence gap.</w:t>
      </w:r>
    </w:p>
    <w:p>
      <w:pPr>
        <w:pStyle w:val="Heading3"/>
        <w:spacing w:after="70" w:before="160"/>
      </w:pPr>
      <w:r>
        <w:rPr>
          <w:rFonts w:ascii="Georgia" w:cs="Georgia" w:eastAsia="Georgia" w:hAnsi="Georgia"/>
          <w:b/>
          <w:bCs/>
          <w:color w:val="2E7D5B"/>
          <w:sz w:val="21"/>
          <w:szCs w:val="21"/>
        </w:rPr>
        <w:t xml:space="preserve">Primary business constraint</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The binding constraint is demand capture, not product capability. Venuewise is under-found and under-converting — the growth system (AI Search Optimization, SEO, Conversion, Lead Generation) is weak, and AI readiness (20/100) is the lowest-rated domain by a wide margin. Fixing how Venuewise is discovered, trusted and converted — not building more product — is where the transformation begins.</w:t>
      </w:r>
    </w:p>
    <w:p>
      <w:pPr>
        <w:pStyle w:val="Heading3"/>
        <w:spacing w:after="70" w:before="160"/>
      </w:pPr>
      <w:r>
        <w:rPr>
          <w:rFonts w:ascii="Georgia" w:cs="Georgia" w:eastAsia="Georgia" w:hAnsi="Georgia"/>
          <w:b/>
          <w:bCs/>
          <w:color w:val="2E7D5B"/>
          <w:sz w:val="21"/>
          <w:szCs w:val="21"/>
        </w:rPr>
        <w:t xml:space="preserve">Transformation opportunity</w:t>
      </w:r>
    </w:p>
    <w:p>
      <w:pPr>
        <w:pStyle w:val="ListParagraph"/>
        <w:numPr>
          <w:ilvl w:val="0"/>
          <w:numId w:val="2"/>
        </w:numPr>
        <w:spacing w:after="60" w:line="268"/>
      </w:pPr>
      <w:r>
        <w:rPr>
          <w:rFonts w:ascii="Georgia" w:cs="Georgia" w:eastAsia="Georgia" w:hAnsi="Georgia"/>
          <w:color w:val="222222"/>
          <w:sz w:val="21"/>
          <w:szCs w:val="21"/>
        </w:rPr>
        <w:t xml:space="preserve">A ready-made youth-sports vertical on a mature, secured backend — the engineering foundation is already in place.</w:t>
      </w:r>
    </w:p>
    <w:p>
      <w:pPr>
        <w:pStyle w:val="ListParagraph"/>
        <w:numPr>
          <w:ilvl w:val="0"/>
          <w:numId w:val="2"/>
        </w:numPr>
        <w:spacing w:after="60" w:line="268"/>
      </w:pPr>
      <w:r>
        <w:rPr>
          <w:rFonts w:ascii="Georgia" w:cs="Georgia" w:eastAsia="Georgia" w:hAnsi="Georgia"/>
          <w:color w:val="222222"/>
          <w:sz w:val="21"/>
          <w:szCs w:val="21"/>
        </w:rPr>
        <w:t xml:space="preserve">~86% capability reuse to the HL-BOS Software Factory, with 100% factory transformation readiness measured — the platform can move quickly.</w:t>
      </w:r>
    </w:p>
    <w:p>
      <w:pPr>
        <w:pStyle w:val="ListParagraph"/>
        <w:numPr>
          <w:ilvl w:val="0"/>
          <w:numId w:val="2"/>
        </w:numPr>
        <w:spacing w:after="60" w:line="268"/>
      </w:pPr>
      <w:r>
        <w:rPr>
          <w:rFonts w:ascii="Georgia" w:cs="Georgia" w:eastAsia="Georgia" w:hAnsi="Georgia"/>
          <w:color w:val="222222"/>
          <w:sz w:val="21"/>
          <w:szCs w:val="21"/>
        </w:rPr>
        <w:t xml:space="preserve">A new website (“Back to the Game” theme) and Website Copy V1 are already drafted and previewed for review, pending owner confirmation of commercial terms.</w:t>
      </w:r>
    </w:p>
    <w:p>
      <w:pPr>
        <w:pStyle w:val="ListParagraph"/>
        <w:numPr>
          <w:ilvl w:val="0"/>
          <w:numId w:val="2"/>
        </w:numPr>
        <w:spacing w:after="60" w:line="268"/>
      </w:pPr>
      <w:r>
        <w:rPr>
          <w:rFonts w:ascii="Georgia" w:cs="Georgia" w:eastAsia="Georgia" w:hAnsi="Georgia"/>
          <w:color w:val="222222"/>
          <w:sz w:val="21"/>
          <w:szCs w:val="21"/>
        </w:rPr>
        <w:t xml:space="preserve">Two proven growth levers to activate: close the AI gap (AEO, assistants, internal workflows) and repair the conversion/lead-generation funnel.</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2. Business Overview</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A formally adopted mission and vision statement was not found in the engagement record. The positioning below is drawn from the approved “Back to the Game” creative theme and the campaign objective, and is presented as owner-to-confirm rather than as an adopted corporate statement.</w:t>
      </w:r>
    </w:p>
    <w:p>
      <w:pPr>
        <w:pStyle w:val="Heading3"/>
        <w:spacing w:after="70" w:before="160"/>
      </w:pPr>
      <w:r>
        <w:rPr>
          <w:rFonts w:ascii="Georgia" w:cs="Georgia" w:eastAsia="Georgia" w:hAnsi="Georgia"/>
          <w:b/>
          <w:bCs/>
          <w:color w:val="2E7D5B"/>
          <w:sz w:val="21"/>
          <w:szCs w:val="21"/>
        </w:rPr>
        <w:t xml:space="preserve">Mission (evidenced positioning — owner to confirm)</w:t>
      </w:r>
    </w:p>
    <w:p>
      <w:pPr>
        <w:spacing w:after="120" w:line="276"/>
      </w:pPr>
      <w:r>
        <w:rPr>
          <w:rFonts w:ascii="Georgia" w:cs="Georgia" w:eastAsia="Georgia" w:hAnsi="Georgia"/>
          <w:color w:val="222222"/>
          <w:sz w:val="21"/>
          <w:szCs w:val="21"/>
        </w:rPr>
        <w:t xml:space="preserve">Help Western New York sports families and organizations get “back to the game” by removing the scheduling, communication and coordination friction that surrounds youth sports.</w:t>
      </w:r>
    </w:p>
    <w:p>
      <w:pPr>
        <w:pStyle w:val="Heading3"/>
        <w:spacing w:after="70" w:before="160"/>
      </w:pPr>
      <w:r>
        <w:rPr>
          <w:rFonts w:ascii="Georgia" w:cs="Georgia" w:eastAsia="Georgia" w:hAnsi="Georgia"/>
          <w:b/>
          <w:bCs/>
          <w:color w:val="2E7D5B"/>
          <w:sz w:val="21"/>
          <w:szCs w:val="21"/>
        </w:rPr>
        <w:t xml:space="preserve">Vision (evidenced positioning — owner to confirm)</w:t>
      </w:r>
    </w:p>
    <w:p>
      <w:pPr>
        <w:spacing w:after="120" w:line="276"/>
      </w:pPr>
      <w:r>
        <w:rPr>
          <w:rFonts w:ascii="Georgia" w:cs="Georgia" w:eastAsia="Georgia" w:hAnsi="Georgia"/>
          <w:color w:val="222222"/>
          <w:sz w:val="21"/>
          <w:szCs w:val="21"/>
        </w:rPr>
        <w:t xml:space="preserve">A single, trusted home for youth-sports coordination in the region — families, coaches, teams, facilities, organizations and leagues operating on one platform, working alongside the tools they already use.</w:t>
      </w:r>
    </w:p>
    <w:p>
      <w:pPr>
        <w:pStyle w:val="Heading3"/>
        <w:spacing w:after="70" w:before="160"/>
      </w:pPr>
      <w:r>
        <w:rPr>
          <w:rFonts w:ascii="Georgia" w:cs="Georgia" w:eastAsia="Georgia" w:hAnsi="Georgia"/>
          <w:b/>
          <w:bCs/>
          <w:color w:val="2E7D5B"/>
          <w:sz w:val="21"/>
          <w:szCs w:val="21"/>
        </w:rPr>
        <w:t xml:space="preserve">Current products &amp; capabilities</w:t>
      </w:r>
    </w:p>
    <w:p>
      <w:pPr>
        <w:spacing w:after="120" w:line="276"/>
      </w:pPr>
      <w:r>
        <w:rPr>
          <w:rFonts w:ascii="Georgia" w:cs="Georgia" w:eastAsia="Georgia" w:hAnsi="Georgia"/>
          <w:b/>
          <w:bCs/>
          <w:color w:val="222222"/>
          <w:sz w:val="21"/>
          <w:szCs w:val="21"/>
        </w:rPr>
        <w:t xml:space="preserve">Horizontal engines (platform-grade): </w:t>
      </w:r>
      <w:r>
        <w:rPr>
          <w:rFonts w:ascii="Georgia" w:cs="Georgia" w:eastAsia="Georgia" w:hAnsi="Georgia"/>
          <w:color w:val="222222"/>
          <w:sz w:val="21"/>
          <w:szCs w:val="21"/>
        </w:rPr>
        <w:t xml:space="preserve">identity &amp; access (phone-first), multi-tenant workspaces &amp; branding, scheduling &amp; unified calendar, messaging (SMS in/out) &amp; reminders, push &amp; feeds, payments &amp; subscriptions (Stripe), a forms engine, a documents engine, a template-driven workflow engine, analytics &amp; status, CRM/leads, and administration &amp; moderation.</w:t>
      </w:r>
    </w:p>
    <w:p>
      <w:pPr>
        <w:spacing w:after="120" w:line="276"/>
      </w:pPr>
      <w:r>
        <w:rPr>
          <w:rFonts w:ascii="Georgia" w:cs="Georgia" w:eastAsia="Georgia" w:hAnsi="Georgia"/>
          <w:b/>
          <w:bCs/>
          <w:color w:val="222222"/>
          <w:sz w:val="21"/>
          <w:szCs w:val="21"/>
        </w:rPr>
        <w:t xml:space="preserve">Youth-sports vertical: </w:t>
      </w:r>
      <w:r>
        <w:rPr>
          <w:rFonts w:ascii="Georgia" w:cs="Georgia" w:eastAsia="Georgia" w:hAnsi="Georgia"/>
          <w:color w:val="222222"/>
          <w:sz w:val="21"/>
          <w:szCs w:val="21"/>
        </w:rPr>
        <w:t xml:space="preserve">family management, athlete development (profiles, goals, stats, videos, public card), coach management, team &amp; roster, facility management &amp; booking, clinic registration &amp; academy, organization directory, a “5-Star” media operation (spotlights, articles, podcasts, photos/video, game coverage), and public directories / games board.</w:t>
      </w:r>
    </w:p>
    <w:p>
      <w:pPr>
        <w:pStyle w:val="Heading3"/>
        <w:spacing w:after="70" w:before="160"/>
      </w:pPr>
      <w:r>
        <w:rPr>
          <w:rFonts w:ascii="Georgia" w:cs="Georgia" w:eastAsia="Georgia" w:hAnsi="Georgia"/>
          <w:b/>
          <w:bCs/>
          <w:color w:val="2E7D5B"/>
          <w:sz w:val="21"/>
          <w:szCs w:val="21"/>
        </w:rPr>
        <w:t xml:space="preserve">Target market</w:t>
      </w:r>
    </w:p>
    <w:p>
      <w:pPr>
        <w:spacing w:after="120" w:line="276"/>
      </w:pPr>
      <w:r>
        <w:rPr>
          <w:rFonts w:ascii="Georgia" w:cs="Georgia" w:eastAsia="Georgia" w:hAnsi="Georgia"/>
          <w:color w:val="222222"/>
          <w:sz w:val="21"/>
          <w:szCs w:val="21"/>
        </w:rPr>
        <w:t xml:space="preserve">Western New York youth sports: families and athletes, coaches, teams, facilities, organizations/clubs, and leagues.</w:t>
      </w:r>
    </w:p>
    <w:p>
      <w:pPr>
        <w:pStyle w:val="Heading3"/>
        <w:spacing w:after="70" w:before="160"/>
      </w:pPr>
      <w:r>
        <w:rPr>
          <w:rFonts w:ascii="Georgia" w:cs="Georgia" w:eastAsia="Georgia" w:hAnsi="Georgia"/>
          <w:b/>
          <w:bCs/>
          <w:color w:val="2E7D5B"/>
          <w:sz w:val="21"/>
          <w:szCs w:val="21"/>
        </w:rPr>
        <w:t xml:space="preserve">Business model</w:t>
      </w:r>
    </w:p>
    <w:p>
      <w:pPr>
        <w:spacing w:after="120" w:line="276"/>
      </w:pPr>
      <w:r>
        <w:rPr>
          <w:rFonts w:ascii="Georgia" w:cs="Georgia" w:eastAsia="Georgia" w:hAnsi="Georgia"/>
          <w:color w:val="222222"/>
          <w:sz w:val="21"/>
          <w:szCs w:val="21"/>
        </w:rPr>
        <w:t xml:space="preserve">Subscription and payments through a live Stripe suite (checkout, portal, webhook). A founding-family and founding-partner commercial model has been proposed as part of this engagement; its pricing, benefits, duration and partner terms remain TO BE CONFIRMED (see Section 8 and the Appendix).</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3. Business Investigation</w:t>
      </w:r>
    </w:p>
    <w:p>
      <w:pPr>
        <w:pStyle w:val="Heading2"/>
        <w:spacing w:after="90" w:before="220"/>
      </w:pPr>
      <w:r>
        <w:rPr>
          <w:rFonts w:ascii="Georgia" w:cs="Georgia" w:eastAsia="Georgia" w:hAnsi="Georgia"/>
          <w:b/>
          <w:bCs/>
          <w:color w:val="44546A"/>
          <w:sz w:val="24"/>
          <w:szCs w:val="24"/>
        </w:rPr>
        <w:t xml:space="preserve">Internal investigation summary</w:t>
      </w:r>
    </w:p>
    <w:p>
      <w:pPr>
        <w:spacing w:after="120" w:line="276"/>
      </w:pPr>
      <w:r>
        <w:rPr>
          <w:rFonts w:ascii="Georgia" w:cs="Georgia" w:eastAsia="Georgia" w:hAnsi="Georgia"/>
          <w:color w:val="222222"/>
          <w:sz w:val="21"/>
          <w:szCs w:val="21"/>
        </w:rPr>
        <w:t xml:space="preserve">A read-only capability and backend harvest (2026-07-31) established the internal picture with nothing modified, deployed or migrated. Venuewise Core proved to be a mature, fully operational, migration-managed backend implementing a complete set of horizontal engines and a full youth-sports vertical, with row-level security on every table and a centralized SECURITY DEFINER access path.</w:t>
      </w:r>
    </w:p>
    <w:p>
      <w:pPr>
        <w:pStyle w:val="Heading2"/>
        <w:spacing w:after="90" w:before="220"/>
      </w:pPr>
      <w:r>
        <w:rPr>
          <w:rFonts w:ascii="Georgia" w:cs="Georgia" w:eastAsia="Georgia" w:hAnsi="Georgia"/>
          <w:b/>
          <w:bCs/>
          <w:color w:val="44546A"/>
          <w:sz w:val="24"/>
          <w:szCs w:val="24"/>
        </w:rPr>
        <w:t xml:space="preserve">External investigation summary</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External digital baselines — website performance, SEO, social reach, review scores, traffic, leads and conversions — are UNKNOWN pending a live VisibilityAI scan, which was gated and not run. These are recorded as explicit unknowns; none were estimated or fabricated.</w:t>
      </w:r>
    </w:p>
    <w:p>
      <w:pPr>
        <w:pStyle w:val="Heading2"/>
        <w:spacing w:after="90" w:before="220"/>
      </w:pPr>
      <w:r>
        <w:rPr>
          <w:rFonts w:ascii="Georgia" w:cs="Georgia" w:eastAsia="Georgia" w:hAnsi="Georgia"/>
          <w:b/>
          <w:bCs/>
          <w:color w:val="44546A"/>
          <w:sz w:val="24"/>
          <w:szCs w:val="24"/>
        </w:rPr>
        <w:t xml:space="preserve">Evidence collected</w:t>
      </w:r>
    </w:p>
    <w:p>
      <w:pPr>
        <w:pStyle w:val="ListParagraph"/>
        <w:numPr>
          <w:ilvl w:val="0"/>
          <w:numId w:val="2"/>
        </w:numPr>
        <w:spacing w:after="60" w:line="268"/>
      </w:pPr>
      <w:r>
        <w:rPr>
          <w:rFonts w:ascii="Georgia" w:cs="Georgia" w:eastAsia="Georgia" w:hAnsi="Georgia"/>
          <w:color w:val="222222"/>
          <w:sz w:val="21"/>
          <w:szCs w:val="21"/>
        </w:rPr>
        <w:t xml:space="preserve">Backend inventory: 93 tables (all RLS-enabled), 69 database functions, 23 edge functions, 7 calendar views, 5 live cron jobs, 2 storage buckets, phone+email auth, 73 tracked migrations.</w:t>
      </w:r>
    </w:p>
    <w:p>
      <w:pPr>
        <w:pStyle w:val="ListParagraph"/>
        <w:numPr>
          <w:ilvl w:val="0"/>
          <w:numId w:val="2"/>
        </w:numPr>
        <w:spacing w:after="60" w:line="268"/>
      </w:pPr>
      <w:r>
        <w:rPr>
          <w:rFonts w:ascii="Georgia" w:cs="Georgia" w:eastAsia="Georgia" w:hAnsi="Georgia"/>
          <w:color w:val="222222"/>
          <w:sz w:val="21"/>
          <w:szCs w:val="21"/>
        </w:rPr>
        <w:t xml:space="preserve">Live operating signals: 284 SMS sent, 703 page views, 118 events, 93 calendar entries, 52 workflow executions, 51 athlete events, 7 users, 1 active subscription.</w:t>
      </w:r>
    </w:p>
    <w:p>
      <w:pPr>
        <w:pStyle w:val="ListParagraph"/>
        <w:numPr>
          <w:ilvl w:val="0"/>
          <w:numId w:val="2"/>
        </w:numPr>
        <w:spacing w:after="60" w:line="268"/>
      </w:pPr>
      <w:r>
        <w:rPr>
          <w:rFonts w:ascii="Georgia" w:cs="Georgia" w:eastAsia="Georgia" w:hAnsi="Georgia"/>
          <w:color w:val="222222"/>
          <w:sz w:val="21"/>
          <w:szCs w:val="21"/>
        </w:rPr>
        <w:t xml:space="preserve">Capability surface harvested from the front-end where the backend was unreachable, with the honesty boundary recorded rather than guessed.</w:t>
      </w:r>
    </w:p>
    <w:p>
      <w:pPr>
        <w:pStyle w:val="Heading2"/>
        <w:spacing w:after="90" w:before="220"/>
      </w:pPr>
      <w:r>
        <w:rPr>
          <w:rFonts w:ascii="Georgia" w:cs="Georgia" w:eastAsia="Georgia" w:hAnsi="Georgia"/>
          <w:b/>
          <w:bCs/>
          <w:color w:val="44546A"/>
          <w:sz w:val="24"/>
          <w:szCs w:val="24"/>
        </w:rPr>
        <w:t xml:space="preserve">Current state</w:t>
      </w:r>
    </w:p>
    <w:p>
      <w:pPr>
        <w:pStyle w:val="Heading3"/>
        <w:spacing w:after="70" w:before="160"/>
      </w:pPr>
      <w:r>
        <w:rPr>
          <w:rFonts w:ascii="Georgia" w:cs="Georgia" w:eastAsia="Georgia" w:hAnsi="Georgia"/>
          <w:b/>
          <w:bCs/>
          <w:color w:val="2E7D5B"/>
          <w:sz w:val="21"/>
          <w:szCs w:val="21"/>
        </w:rPr>
        <w:t xml:space="preserve">Digital presence</w:t>
      </w:r>
    </w:p>
    <w:p>
      <w:pPr>
        <w:spacing w:after="120" w:line="276"/>
      </w:pPr>
      <w:r>
        <w:rPr>
          <w:rFonts w:ascii="Georgia" w:cs="Georgia" w:eastAsia="Georgia" w:hAnsi="Georgia"/>
          <w:color w:val="222222"/>
          <w:sz w:val="21"/>
          <w:szCs w:val="21"/>
        </w:rPr>
        <w:t xml:space="preserve">Not yet measured externally (scan gated). The assessor note records “strong social + brand; weak SEO/AEO and conversion — the highest-leverage growth gaps,” and a site audit found thin metadata and no structured data.</w:t>
      </w:r>
    </w:p>
    <w:p>
      <w:pPr>
        <w:pStyle w:val="Heading3"/>
        <w:spacing w:after="70" w:before="160"/>
      </w:pPr>
      <w:r>
        <w:rPr>
          <w:rFonts w:ascii="Georgia" w:cs="Georgia" w:eastAsia="Georgia" w:hAnsi="Georgia"/>
          <w:b/>
          <w:bCs/>
          <w:color w:val="2E7D5B"/>
          <w:sz w:val="21"/>
          <w:szCs w:val="21"/>
        </w:rPr>
        <w:t xml:space="preserve">Technology</w:t>
      </w:r>
    </w:p>
    <w:p>
      <w:pPr>
        <w:spacing w:after="120" w:line="276"/>
      </w:pPr>
      <w:r>
        <w:rPr>
          <w:rFonts w:ascii="Georgia" w:cs="Georgia" w:eastAsia="Georgia" w:hAnsi="Georgia"/>
          <w:color w:val="222222"/>
          <w:sz w:val="21"/>
          <w:szCs w:val="21"/>
        </w:rPr>
        <w:t xml:space="preserve">A mature, migration-managed, fully-RLS backend with a SECURITY DEFINER RPC pattern and self-running automation (pg_cron + pg_net). The analysis-only assessment nonetheless rates Architecture and Security at 2/5 as improvement areas — a target architecture/integration plan and a security review with monitoring are indicated.</w:t>
      </w:r>
    </w:p>
    <w:p>
      <w:pPr>
        <w:pStyle w:val="Heading3"/>
        <w:spacing w:after="70" w:before="160"/>
      </w:pPr>
      <w:r>
        <w:rPr>
          <w:rFonts w:ascii="Georgia" w:cs="Georgia" w:eastAsia="Georgia" w:hAnsi="Georgia"/>
          <w:b/>
          <w:bCs/>
          <w:color w:val="2E7D5B"/>
          <w:sz w:val="21"/>
          <w:szCs w:val="21"/>
        </w:rPr>
        <w:t xml:space="preserve">Marketing</w:t>
      </w:r>
    </w:p>
    <w:p>
      <w:pPr>
        <w:spacing w:after="120" w:line="276"/>
      </w:pPr>
      <w:r>
        <w:rPr>
          <w:rFonts w:ascii="Georgia" w:cs="Georgia" w:eastAsia="Georgia" w:hAnsi="Georgia"/>
          <w:color w:val="222222"/>
          <w:sz w:val="21"/>
          <w:szCs w:val="21"/>
        </w:rPr>
        <w:t xml:space="preserve">The reused engagement campaign defines the objective as growing families, coaches, facilities and organizations onto Venuewise, across TikTok, Instagram, YouTube and Facebook, with the call to action “start your team on Venuewise.”</w:t>
      </w:r>
    </w:p>
    <w:p>
      <w:pPr>
        <w:pStyle w:val="Heading3"/>
        <w:spacing w:after="70" w:before="160"/>
      </w:pPr>
      <w:r>
        <w:rPr>
          <w:rFonts w:ascii="Georgia" w:cs="Georgia" w:eastAsia="Georgia" w:hAnsi="Georgia"/>
          <w:b/>
          <w:bCs/>
          <w:color w:val="2E7D5B"/>
          <w:sz w:val="21"/>
          <w:szCs w:val="21"/>
        </w:rPr>
        <w:t xml:space="preserve">Operations</w:t>
      </w:r>
    </w:p>
    <w:p>
      <w:pPr>
        <w:spacing w:after="120" w:line="276"/>
      </w:pPr>
      <w:r>
        <w:rPr>
          <w:rFonts w:ascii="Georgia" w:cs="Georgia" w:eastAsia="Georgia" w:hAnsi="Georgia"/>
          <w:color w:val="222222"/>
          <w:sz w:val="21"/>
          <w:szCs w:val="21"/>
        </w:rPr>
        <w:t xml:space="preserve">Self-running: cron automation drives the SMS outbox (every 2 minutes), calendar refresh (10 minutes), schedule sync (30 minutes), nightly reminders, and the status page (10 minutes).</w:t>
      </w:r>
    </w:p>
    <w:p>
      <w:pPr>
        <w:pStyle w:val="Heading3"/>
        <w:spacing w:after="70" w:before="160"/>
      </w:pPr>
      <w:r>
        <w:rPr>
          <w:rFonts w:ascii="Georgia" w:cs="Georgia" w:eastAsia="Georgia" w:hAnsi="Georgia"/>
          <w:b/>
          <w:bCs/>
          <w:color w:val="2E7D5B"/>
          <w:sz w:val="21"/>
          <w:szCs w:val="21"/>
        </w:rPr>
        <w:t xml:space="preserve">Visibility</w:t>
      </w:r>
    </w:p>
    <w:p>
      <w:pPr>
        <w:spacing w:after="120" w:line="276"/>
      </w:pPr>
      <w:r>
        <w:rPr>
          <w:rFonts w:ascii="Georgia" w:cs="Georgia" w:eastAsia="Georgia" w:hAnsi="Georgia"/>
          <w:color w:val="222222"/>
          <w:sz w:val="21"/>
          <w:szCs w:val="21"/>
        </w:rPr>
        <w:t xml:space="preserve">Not yet measured; a live VisibilityAI scan is the gated first step to establish real baselines.</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4. Business Transformation Findings</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Findings are the deterministic output of the HL-BTI Consulting Intelligence Framework (bti-consulting-0.1.0): 4 domains assessed, 16 dimensions rated, 11 findings, classified across 11 FACT, 22 INFERENCE and 11 OPINION claims. Analysis only — no proposal, billing or migration.</w:t>
      </w:r>
    </w:p>
    <w:p>
      <w:pPr>
        <w:pStyle w:val="Heading2"/>
        <w:spacing w:after="90" w:before="220"/>
      </w:pPr>
      <w:r>
        <w:rPr>
          <w:rFonts w:ascii="Georgia" w:cs="Georgia" w:eastAsia="Georgia" w:hAnsi="Georgia"/>
          <w:b/>
          <w:bCs/>
          <w:color w:val="44546A"/>
          <w:sz w:val="24"/>
          <w:szCs w:val="24"/>
        </w:rPr>
        <w:t xml:space="preserve">Strengths</w:t>
      </w:r>
    </w:p>
    <w:p>
      <w:pPr>
        <w:pStyle w:val="ListParagraph"/>
        <w:numPr>
          <w:ilvl w:val="0"/>
          <w:numId w:val="2"/>
        </w:numPr>
        <w:spacing w:after="60" w:line="268"/>
      </w:pPr>
      <w:r>
        <w:rPr>
          <w:rFonts w:ascii="Georgia" w:cs="Georgia" w:eastAsia="Georgia" w:hAnsi="Georgia"/>
          <w:color w:val="222222"/>
          <w:sz w:val="21"/>
          <w:szCs w:val="21"/>
        </w:rPr>
        <w:t xml:space="preserve">Business domain rated 72/100 — the strongest assessed area.</w:t>
      </w:r>
    </w:p>
    <w:p>
      <w:pPr>
        <w:pStyle w:val="ListParagraph"/>
        <w:numPr>
          <w:ilvl w:val="0"/>
          <w:numId w:val="2"/>
        </w:numPr>
        <w:spacing w:after="60" w:line="268"/>
      </w:pPr>
      <w:r>
        <w:rPr>
          <w:rFonts w:ascii="Georgia" w:cs="Georgia" w:eastAsia="Georgia" w:hAnsi="Georgia"/>
          <w:color w:val="222222"/>
          <w:sz w:val="21"/>
          <w:szCs w:val="21"/>
        </w:rPr>
        <w:t xml:space="preserve">A mature, secured, migration-managed operational backbone that genuinely runs.</w:t>
      </w:r>
    </w:p>
    <w:p>
      <w:pPr>
        <w:pStyle w:val="ListParagraph"/>
        <w:numPr>
          <w:ilvl w:val="0"/>
          <w:numId w:val="2"/>
        </w:numPr>
        <w:spacing w:after="60" w:line="268"/>
      </w:pPr>
      <w:r>
        <w:rPr>
          <w:rFonts w:ascii="Georgia" w:cs="Georgia" w:eastAsia="Georgia" w:hAnsi="Georgia"/>
          <w:color w:val="222222"/>
          <w:sz w:val="21"/>
          <w:szCs w:val="21"/>
        </w:rPr>
        <w:t xml:space="preserve">A working Stripe subscription flow — a capability HL-BOS itself only stubs.</w:t>
      </w:r>
    </w:p>
    <w:p>
      <w:pPr>
        <w:pStyle w:val="ListParagraph"/>
        <w:numPr>
          <w:ilvl w:val="0"/>
          <w:numId w:val="2"/>
        </w:numPr>
        <w:spacing w:after="60" w:line="268"/>
      </w:pPr>
      <w:r>
        <w:rPr>
          <w:rFonts w:ascii="Georgia" w:cs="Georgia" w:eastAsia="Georgia" w:hAnsi="Georgia"/>
          <w:color w:val="222222"/>
          <w:sz w:val="21"/>
          <w:szCs w:val="21"/>
        </w:rPr>
        <w:t xml:space="preserve">~86% capability reuse to the HL-BOS Software Factory; 100% factory transformation readiness.</w:t>
      </w:r>
    </w:p>
    <w:p>
      <w:pPr>
        <w:pStyle w:val="Heading2"/>
        <w:spacing w:after="90" w:before="220"/>
      </w:pPr>
      <w:r>
        <w:rPr>
          <w:rFonts w:ascii="Georgia" w:cs="Georgia" w:eastAsia="Georgia" w:hAnsi="Georgia"/>
          <w:b/>
          <w:bCs/>
          <w:color w:val="44546A"/>
          <w:sz w:val="24"/>
          <w:szCs w:val="24"/>
        </w:rPr>
        <w:t xml:space="preserve">Constraints — the eleven findings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091"/>
        <w:gridCol w:w="797"/>
        <w:gridCol w:w="996"/>
        <w:gridCol w:w="2788"/>
        <w:gridCol w:w="2689"/>
      </w:tblGrid>
      <w:tr>
        <w:trPr>
          <w:tblHeader/>
        </w:trPr>
        <w:tc>
          <w:tcPr>
            <w:tcW w:type="dxa" w:w="2091"/>
            <w:shd w:fill="1F3A5F" w:color="auto" w:val="clear"/>
            <w:tcMar>
              <w:top w:type="dxa" w:w="40"/>
              <w:left w:type="dxa" w:w="90"/>
              <w:bottom w:type="dxa" w:w="40"/>
              <w:right w:type="dxa" w:w="90"/>
            </w:tcMar>
          </w:tcPr>
          <w:p>
            <w:pPr>
              <w:spacing w:after="0" w:line="252"/>
            </w:pPr>
            <w:r>
              <w:rPr>
                <w:rFonts w:ascii="Georgia" w:cs="Georgia" w:eastAsia="Georgia" w:hAnsi="Georgia"/>
                <w:b/>
                <w:bCs/>
                <w:color w:val="FFFFFF"/>
                <w:sz w:val="19"/>
                <w:szCs w:val="19"/>
              </w:rPr>
              <w:t xml:space="preserve">Finding</w:t>
            </w:r>
          </w:p>
        </w:tc>
        <w:tc>
          <w:tcPr>
            <w:tcW w:type="dxa" w:w="797"/>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Rating</w:t>
            </w:r>
          </w:p>
        </w:tc>
        <w:tc>
          <w:tcPr>
            <w:tcW w:type="dxa" w:w="996"/>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Priority</w:t>
            </w:r>
          </w:p>
        </w:tc>
        <w:tc>
          <w:tcPr>
            <w:tcW w:type="dxa" w:w="2788"/>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Root cause (inference)</w:t>
            </w:r>
          </w:p>
        </w:tc>
        <w:tc>
          <w:tcPr>
            <w:tcW w:type="dxa" w:w="2689"/>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Business impact</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AI Search Optimization</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Critical</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Content not structured for AI answer engines</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Limits new-customer acquisition and revenue</w:t>
            </w:r>
          </w:p>
        </w:tc>
      </w:tr>
      <w:tr>
        <w:tc>
          <w:tcPr>
            <w:tcW w:type="dxa" w:w="2091"/>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AI Assistants</w:t>
            </w:r>
          </w:p>
        </w:tc>
        <w:tc>
          <w:tcPr>
            <w:tcW w:type="dxa" w:w="797"/>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1/5</w:t>
            </w:r>
          </w:p>
        </w:tc>
        <w:tc>
          <w:tcPr>
            <w:tcW w:type="dxa" w:w="996"/>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Critical</w:t>
            </w:r>
          </w:p>
        </w:tc>
        <w:tc>
          <w:tcPr>
            <w:tcW w:type="dxa" w:w="278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No AI assistants supporting the team</w:t>
            </w:r>
          </w:p>
        </w:tc>
        <w:tc>
          <w:tcPr>
            <w:tcW w:type="dxa" w:w="2689"/>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Productivity &amp; service-quality gains uncaptured</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Internal AI Workflows</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Critical</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No internal AI workflows in operations</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Productivity &amp; service-quality gains uncaptured</w:t>
            </w:r>
          </w:p>
        </w:tc>
      </w:tr>
      <w:tr>
        <w:tc>
          <w:tcPr>
            <w:tcW w:type="dxa" w:w="2091"/>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Conversion</w:t>
            </w:r>
          </w:p>
        </w:tc>
        <w:tc>
          <w:tcPr>
            <w:tcW w:type="dxa" w:w="797"/>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2/5</w:t>
            </w:r>
          </w:p>
        </w:tc>
        <w:tc>
          <w:tcPr>
            <w:tcW w:type="dxa" w:w="996"/>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High</w:t>
            </w:r>
          </w:p>
        </w:tc>
        <w:tc>
          <w:tcPr>
            <w:tcW w:type="dxa" w:w="278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Funnel leaks between visit and close</w:t>
            </w:r>
          </w:p>
        </w:tc>
        <w:tc>
          <w:tcPr>
            <w:tcW w:type="dxa" w:w="2689"/>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Limits new-customer acquisition and revenue</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Lead Generation</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High</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No repeatable lead-generation system</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Limits new-customer acquisition and revenue</w:t>
            </w:r>
          </w:p>
        </w:tc>
      </w:tr>
      <w:tr>
        <w:tc>
          <w:tcPr>
            <w:tcW w:type="dxa" w:w="2091"/>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SEO</w:t>
            </w:r>
          </w:p>
        </w:tc>
        <w:tc>
          <w:tcPr>
            <w:tcW w:type="dxa" w:w="797"/>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2/5</w:t>
            </w:r>
          </w:p>
        </w:tc>
        <w:tc>
          <w:tcPr>
            <w:tcW w:type="dxa" w:w="996"/>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High</w:t>
            </w:r>
          </w:p>
        </w:tc>
        <w:tc>
          <w:tcPr>
            <w:tcW w:type="dxa" w:w="278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Weak on-page and technical SEO foundations</w:t>
            </w:r>
          </w:p>
        </w:tc>
        <w:tc>
          <w:tcPr>
            <w:tcW w:type="dxa" w:w="2689"/>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Limits new-customer acquisition and revenue</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Architecture</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High</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Point solutions without a coherent architecture</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Increases risk; slows every other initiative</w:t>
            </w:r>
          </w:p>
        </w:tc>
      </w:tr>
      <w:tr>
        <w:tc>
          <w:tcPr>
            <w:tcW w:type="dxa" w:w="2091"/>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Security</w:t>
            </w:r>
          </w:p>
        </w:tc>
        <w:tc>
          <w:tcPr>
            <w:tcW w:type="dxa" w:w="797"/>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2/5</w:t>
            </w:r>
          </w:p>
        </w:tc>
        <w:tc>
          <w:tcPr>
            <w:tcW w:type="dxa" w:w="996"/>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High</w:t>
            </w:r>
          </w:p>
        </w:tc>
        <w:tc>
          <w:tcPr>
            <w:tcW w:type="dxa" w:w="278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Gaps in access control and data protection</w:t>
            </w:r>
          </w:p>
        </w:tc>
        <w:tc>
          <w:tcPr>
            <w:tcW w:type="dxa" w:w="2689"/>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Increases risk; slows every other initiative</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Growth Readiness</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3/5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Medium</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Growth outpacing systems and structure</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Constrains ability to execute and scale</w:t>
            </w:r>
          </w:p>
        </w:tc>
      </w:tr>
      <w:tr>
        <w:tc>
          <w:tcPr>
            <w:tcW w:type="dxa" w:w="2091"/>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Processes</w:t>
            </w:r>
          </w:p>
        </w:tc>
        <w:tc>
          <w:tcPr>
            <w:tcW w:type="dxa" w:w="797"/>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3/5</w:t>
            </w:r>
          </w:p>
        </w:tc>
        <w:tc>
          <w:tcPr>
            <w:tcW w:type="dxa" w:w="996"/>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Medium</w:t>
            </w:r>
          </w:p>
        </w:tc>
        <w:tc>
          <w:tcPr>
            <w:tcW w:type="dxa" w:w="278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Ad-hoc, person-dependent processes</w:t>
            </w:r>
          </w:p>
        </w:tc>
        <w:tc>
          <w:tcPr>
            <w:tcW w:type="dxa" w:w="2689"/>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Constrains ability to execute and scale</w:t>
            </w:r>
          </w:p>
        </w:tc>
      </w:tr>
      <w:tr>
        <w:tc>
          <w:tcPr>
            <w:tcW w:type="dxa" w:w="2091"/>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Website</w:t>
            </w:r>
          </w:p>
        </w:tc>
        <w:tc>
          <w:tcPr>
            <w:tcW w:type="dxa" w:w="797"/>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3/5</w:t>
            </w:r>
          </w:p>
        </w:tc>
        <w:tc>
          <w:tcPr>
            <w:tcW w:type="dxa" w:w="996"/>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Medium</w:t>
            </w:r>
          </w:p>
        </w:tc>
        <w:tc>
          <w:tcPr>
            <w:tcW w:type="dxa" w:w="278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Website not built to convert or rank</w:t>
            </w:r>
          </w:p>
        </w:tc>
        <w:tc>
          <w:tcPr>
            <w:tcW w:type="dxa" w:w="2689"/>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Limits new-customer acquisition and revenue</w:t>
            </w:r>
          </w:p>
        </w:tc>
      </w:tr>
    </w:tbl>
    <w:p>
      <w:pPr>
        <w:spacing w:after="120"/>
      </w:pPr>
    </w:p>
    <w:p>
      <w:pPr>
        <w:pStyle w:val="Heading2"/>
        <w:spacing w:after="90" w:before="220"/>
      </w:pPr>
      <w:r>
        <w:rPr>
          <w:rFonts w:ascii="Georgia" w:cs="Georgia" w:eastAsia="Georgia" w:hAnsi="Georgia"/>
          <w:b/>
          <w:bCs/>
          <w:color w:val="44546A"/>
          <w:sz w:val="24"/>
          <w:szCs w:val="24"/>
        </w:rPr>
        <w:t xml:space="preserve">Root cause analysis</w:t>
      </w:r>
    </w:p>
    <w:p>
      <w:pPr>
        <w:spacing w:after="120" w:line="276"/>
      </w:pPr>
      <w:r>
        <w:rPr>
          <w:rFonts w:ascii="Georgia" w:cs="Georgia" w:eastAsia="Georgia" w:hAnsi="Georgia"/>
          <w:color w:val="222222"/>
          <w:sz w:val="21"/>
          <w:szCs w:val="21"/>
        </w:rPr>
        <w:t xml:space="preserve">Read together, the root causes cluster into two themes. The critical cluster is an absent AI layer — no content structured for AI answer engines, no governed assistants, and no internal AI workflows. The high-priority cluster is a leaking demand engine — weak SEO foundations, a funnel that loses visitors between visit and close, and no repeatable lead-generation system — sitting on top of architecture and security foundations that need deliberate strengthening.</w:t>
      </w:r>
    </w:p>
    <w:p>
      <w:pPr>
        <w:pStyle w:val="Heading2"/>
        <w:spacing w:after="90" w:before="220"/>
      </w:pPr>
      <w:r>
        <w:rPr>
          <w:rFonts w:ascii="Georgia" w:cs="Georgia" w:eastAsia="Georgia" w:hAnsi="Georgia"/>
          <w:b/>
          <w:bCs/>
          <w:color w:val="44546A"/>
          <w:sz w:val="24"/>
          <w:szCs w:val="24"/>
        </w:rPr>
        <w:t xml:space="preserve">Growth opportunities</w:t>
      </w:r>
    </w:p>
    <w:p>
      <w:pPr>
        <w:pStyle w:val="ListParagraph"/>
        <w:numPr>
          <w:ilvl w:val="0"/>
          <w:numId w:val="2"/>
        </w:numPr>
        <w:spacing w:after="60" w:line="268"/>
      </w:pPr>
      <w:r>
        <w:rPr>
          <w:rFonts w:ascii="Georgia" w:cs="Georgia" w:eastAsia="Georgia" w:hAnsi="Georgia"/>
          <w:color w:val="222222"/>
          <w:sz w:val="21"/>
          <w:szCs w:val="21"/>
        </w:rPr>
        <w:t xml:space="preserve">Optimize for AI search (AEO) with structured content.</w:t>
      </w:r>
    </w:p>
    <w:p>
      <w:pPr>
        <w:pStyle w:val="ListParagraph"/>
        <w:numPr>
          <w:ilvl w:val="0"/>
          <w:numId w:val="2"/>
        </w:numPr>
        <w:spacing w:after="60" w:line="268"/>
      </w:pPr>
      <w:r>
        <w:rPr>
          <w:rFonts w:ascii="Georgia" w:cs="Georgia" w:eastAsia="Georgia" w:hAnsi="Georgia"/>
          <w:color w:val="222222"/>
          <w:sz w:val="21"/>
          <w:szCs w:val="21"/>
        </w:rPr>
        <w:t xml:space="preserve">Optimize the funnel and follow-up motion (speed-to-lead, conversion).</w:t>
      </w:r>
    </w:p>
    <w:p>
      <w:pPr>
        <w:pStyle w:val="ListParagraph"/>
        <w:numPr>
          <w:ilvl w:val="0"/>
          <w:numId w:val="2"/>
        </w:numPr>
        <w:spacing w:after="60" w:line="268"/>
      </w:pPr>
      <w:r>
        <w:rPr>
          <w:rFonts w:ascii="Georgia" w:cs="Georgia" w:eastAsia="Georgia" w:hAnsi="Georgia"/>
          <w:color w:val="222222"/>
          <w:sz w:val="21"/>
          <w:szCs w:val="21"/>
        </w:rPr>
        <w:t xml:space="preserve">Build a measurable lead-generation system.</w:t>
      </w:r>
    </w:p>
    <w:p>
      <w:pPr>
        <w:pStyle w:val="ListParagraph"/>
        <w:numPr>
          <w:ilvl w:val="0"/>
          <w:numId w:val="2"/>
        </w:numPr>
        <w:spacing w:after="60" w:line="268"/>
      </w:pPr>
      <w:r>
        <w:rPr>
          <w:rFonts w:ascii="Georgia" w:cs="Georgia" w:eastAsia="Georgia" w:hAnsi="Georgia"/>
          <w:color w:val="222222"/>
          <w:sz w:val="21"/>
          <w:szCs w:val="21"/>
        </w:rPr>
        <w:t xml:space="preserve">Run an SEO foundation and content program.</w:t>
      </w:r>
    </w:p>
    <w:p>
      <w:pPr>
        <w:pStyle w:val="Heading2"/>
        <w:spacing w:after="90" w:before="220"/>
      </w:pPr>
      <w:r>
        <w:rPr>
          <w:rFonts w:ascii="Georgia" w:cs="Georgia" w:eastAsia="Georgia" w:hAnsi="Georgia"/>
          <w:b/>
          <w:bCs/>
          <w:color w:val="44546A"/>
          <w:sz w:val="24"/>
          <w:szCs w:val="24"/>
        </w:rPr>
        <w:t xml:space="preserve">Business risks</w:t>
      </w:r>
    </w:p>
    <w:p>
      <w:pPr>
        <w:spacing w:after="120" w:line="276"/>
      </w:pPr>
      <w:r>
        <w:rPr>
          <w:rFonts w:ascii="Georgia" w:cs="Georgia" w:eastAsia="Georgia" w:hAnsi="Georgia"/>
          <w:color w:val="222222"/>
          <w:sz w:val="21"/>
          <w:szCs w:val="21"/>
        </w:rPr>
        <w:t xml:space="preserve">The three AI findings and the SEO, Conversion and Lead-Generation findings are each recorded as near-term threats that materially hold back results within the quarter if unaddressed. Architecture and Security are flagged as risk-and-velocity constraints on every other initiative.</w:t>
      </w:r>
    </w:p>
    <w:p>
      <w:pPr>
        <w:pStyle w:val="Heading2"/>
        <w:spacing w:after="90" w:before="220"/>
      </w:pPr>
      <w:r>
        <w:rPr>
          <w:rFonts w:ascii="Georgia" w:cs="Georgia" w:eastAsia="Georgia" w:hAnsi="Georgia"/>
          <w:b/>
          <w:bCs/>
          <w:color w:val="44546A"/>
          <w:sz w:val="24"/>
          <w:szCs w:val="24"/>
        </w:rPr>
        <w:t xml:space="preserve">Current maturity</w:t>
      </w:r>
    </w:p>
    <w:p>
      <w:pPr>
        <w:pStyle w:val="ListParagraph"/>
        <w:numPr>
          <w:ilvl w:val="0"/>
          <w:numId w:val="2"/>
        </w:numPr>
        <w:spacing w:after="60" w:line="268"/>
      </w:pPr>
      <w:r>
        <w:rPr>
          <w:rFonts w:ascii="Georgia" w:cs="Georgia" w:eastAsia="Georgia" w:hAnsi="Georgia"/>
          <w:color w:val="222222"/>
          <w:sz w:val="21"/>
          <w:szCs w:val="21"/>
        </w:rPr>
        <w:t xml:space="preserve">8 capabilities in production (live data + automation): identity, calendar, SMS, family, payments, analytics, workflow, admin.</w:t>
      </w:r>
    </w:p>
    <w:p>
      <w:pPr>
        <w:pStyle w:val="ListParagraph"/>
        <w:numPr>
          <w:ilvl w:val="0"/>
          <w:numId w:val="2"/>
        </w:numPr>
        <w:spacing w:after="60" w:line="268"/>
      </w:pPr>
      <w:r>
        <w:rPr>
          <w:rFonts w:ascii="Georgia" w:cs="Georgia" w:eastAsia="Georgia" w:hAnsi="Georgia"/>
          <w:color w:val="222222"/>
          <w:sz w:val="21"/>
          <w:szCs w:val="21"/>
        </w:rPr>
        <w:t xml:space="preserve">~11 capabilities fully built and functional, awaiting usage/data: workspaces, forms, documents, athlete, coach, team, facility, clinics/academy, organizations, CRM, push.</w:t>
      </w:r>
    </w:p>
    <w:p>
      <w:pPr>
        <w:pStyle w:val="ListParagraph"/>
        <w:numPr>
          <w:ilvl w:val="0"/>
          <w:numId w:val="2"/>
        </w:numPr>
        <w:spacing w:after="60" w:line="268"/>
      </w:pPr>
      <w:r>
        <w:rPr>
          <w:rFonts w:ascii="Georgia" w:cs="Georgia" w:eastAsia="Georgia" w:hAnsi="Georgia"/>
          <w:color w:val="222222"/>
          <w:sz w:val="21"/>
          <w:szCs w:val="21"/>
        </w:rPr>
        <w:t xml:space="preserve">1 partial (media operation), 3 unknown (AI edge processors), 1 retired (import artifact).</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5. Marketing Transformation Strategy</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The full Marketing Strategy, Launch Campaign, Founding Partner Program and Creative Asset Framework are recorded as completed engagement deliverables and indexed in the Business Transformation Intelligence Center (BTIC). This report assembles their confirmed essence and records what remains owner-confirmed; it does not reproduce or re-invent their internal detail, and it fills no unconfirmed term.</w:t>
      </w:r>
    </w:p>
    <w:p>
      <w:pPr>
        <w:pStyle w:val="Heading3"/>
        <w:spacing w:after="70" w:before="160"/>
      </w:pPr>
      <w:r>
        <w:rPr>
          <w:rFonts w:ascii="Georgia" w:cs="Georgia" w:eastAsia="Georgia" w:hAnsi="Georgia"/>
          <w:b/>
          <w:bCs/>
          <w:color w:val="2E7D5B"/>
          <w:sz w:val="21"/>
          <w:szCs w:val="21"/>
        </w:rPr>
        <w:t xml:space="preserve">Brand positioning</w:t>
      </w:r>
    </w:p>
    <w:p>
      <w:pPr>
        <w:spacing w:after="120" w:line="276"/>
      </w:pPr>
      <w:r>
        <w:rPr>
          <w:rFonts w:ascii="Georgia" w:cs="Georgia" w:eastAsia="Georgia" w:hAnsi="Georgia"/>
          <w:color w:val="222222"/>
          <w:sz w:val="21"/>
          <w:szCs w:val="21"/>
        </w:rPr>
        <w:t xml:space="preserve">The approved creative direction is the “Back to the Game” framework: a warm, Western-New-York sports identity built on the principle that people buy a better life, not features. Website Copy V1 was elevated for emotional impact without adding length.</w:t>
      </w:r>
    </w:p>
    <w:p>
      <w:pPr>
        <w:pStyle w:val="Heading3"/>
        <w:spacing w:after="70" w:before="160"/>
      </w:pPr>
      <w:r>
        <w:rPr>
          <w:rFonts w:ascii="Georgia" w:cs="Georgia" w:eastAsia="Georgia" w:hAnsi="Georgia"/>
          <w:b/>
          <w:bCs/>
          <w:color w:val="2E7D5B"/>
          <w:sz w:val="21"/>
          <w:szCs w:val="21"/>
        </w:rPr>
        <w:t xml:space="preserve">Messaging</w:t>
      </w:r>
    </w:p>
    <w:p>
      <w:pPr>
        <w:spacing w:after="120" w:line="276"/>
      </w:pPr>
      <w:r>
        <w:rPr>
          <w:rFonts w:ascii="Georgia" w:cs="Georgia" w:eastAsia="Georgia" w:hAnsi="Georgia"/>
          <w:color w:val="222222"/>
          <w:sz w:val="21"/>
          <w:szCs w:val="21"/>
        </w:rPr>
        <w:t xml:space="preserve">Two audience paths lead the message — Families and Partners. The homepage leads with a dominant “Become a Founding Family — Start Free” call to action and a secondary “Explore Founding Partnerships,” supported by a family differentiator line and an honest founding-stage trust section. Integrations are stated only as “works alongside the apps you already use,” with specific sources placeheld.</w:t>
      </w:r>
    </w:p>
    <w:p>
      <w:pPr>
        <w:pStyle w:val="Heading3"/>
        <w:spacing w:after="70" w:before="160"/>
      </w:pPr>
      <w:r>
        <w:rPr>
          <w:rFonts w:ascii="Georgia" w:cs="Georgia" w:eastAsia="Georgia" w:hAnsi="Georgia"/>
          <w:b/>
          <w:bCs/>
          <w:color w:val="2E7D5B"/>
          <w:sz w:val="21"/>
          <w:szCs w:val="21"/>
        </w:rPr>
        <w:t xml:space="preserve">Audience strategy</w:t>
      </w:r>
    </w:p>
    <w:p>
      <w:pPr>
        <w:spacing w:after="120" w:line="276"/>
      </w:pPr>
      <w:r>
        <w:rPr>
          <w:rFonts w:ascii="Georgia" w:cs="Georgia" w:eastAsia="Georgia" w:hAnsi="Georgia"/>
          <w:color w:val="222222"/>
          <w:sz w:val="21"/>
          <w:szCs w:val="21"/>
        </w:rPr>
        <w:t xml:space="preserve">Families are the primary acquisition path; Partners (Organizations, Coaches, Leagues and Facilities) are reached through a dedicated Founding Partner hub.</w:t>
      </w:r>
    </w:p>
    <w:p>
      <w:pPr>
        <w:pStyle w:val="Heading3"/>
        <w:spacing w:after="70" w:before="160"/>
      </w:pPr>
      <w:r>
        <w:rPr>
          <w:rFonts w:ascii="Georgia" w:cs="Georgia" w:eastAsia="Georgia" w:hAnsi="Georgia"/>
          <w:b/>
          <w:bCs/>
          <w:color w:val="2E7D5B"/>
          <w:sz w:val="21"/>
          <w:szCs w:val="21"/>
        </w:rPr>
        <w:t xml:space="preserve">Founding Family strategy</w:t>
      </w:r>
    </w:p>
    <w:p>
      <w:pPr>
        <w:spacing w:after="120" w:line="276"/>
      </w:pPr>
      <w:r>
        <w:rPr>
          <w:rFonts w:ascii="Georgia" w:cs="Georgia" w:eastAsia="Georgia" w:hAnsi="Georgia"/>
          <w:color w:val="222222"/>
          <w:sz w:val="21"/>
          <w:szCs w:val="21"/>
        </w:rPr>
        <w:t xml:space="preserve">Acquisition-first, led by a free start. Founding-family </w:t>
      </w:r>
      <w:r>
        <w:rPr>
          <w:rFonts w:ascii="Georgia" w:cs="Georgia" w:eastAsia="Georgia" w:hAnsi="Georgia"/>
          <w:b/>
          <w:bCs/>
          <w:color w:val="222222"/>
          <w:sz w:val="21"/>
          <w:szCs w:val="21"/>
        </w:rPr>
        <w:t xml:space="preserve">benefits and duration are TO BE CONFIRMED</w:t>
      </w:r>
      <w:r>
        <w:rPr>
          <w:rFonts w:ascii="Georgia" w:cs="Georgia" w:eastAsia="Georgia" w:hAnsi="Georgia"/>
          <w:color w:val="222222"/>
          <w:sz w:val="21"/>
          <w:szCs w:val="21"/>
        </w:rPr>
        <w:t xml:space="preserve"> and are held as visible placeholders rather than invented.</w:t>
      </w:r>
    </w:p>
    <w:p>
      <w:pPr>
        <w:pStyle w:val="Heading3"/>
        <w:spacing w:after="70" w:before="160"/>
      </w:pPr>
      <w:r>
        <w:rPr>
          <w:rFonts w:ascii="Georgia" w:cs="Georgia" w:eastAsia="Georgia" w:hAnsi="Georgia"/>
          <w:b/>
          <w:bCs/>
          <w:color w:val="2E7D5B"/>
          <w:sz w:val="21"/>
          <w:szCs w:val="21"/>
        </w:rPr>
        <w:t xml:space="preserve">Founding Partner strategy</w:t>
      </w:r>
    </w:p>
    <w:p>
      <w:pPr>
        <w:spacing w:after="120" w:line="276"/>
      </w:pPr>
      <w:r>
        <w:rPr>
          <w:rFonts w:ascii="Georgia" w:cs="Georgia" w:eastAsia="Georgia" w:hAnsi="Georgia"/>
          <w:color w:val="222222"/>
          <w:sz w:val="21"/>
          <w:szCs w:val="21"/>
        </w:rPr>
        <w:t xml:space="preserve">A partnership hub spanning League, Organization, Facility and Coach. Partner </w:t>
      </w:r>
      <w:r>
        <w:rPr>
          <w:rFonts w:ascii="Georgia" w:cs="Georgia" w:eastAsia="Georgia" w:hAnsi="Georgia"/>
          <w:b/>
          <w:bCs/>
          <w:color w:val="222222"/>
          <w:sz w:val="21"/>
          <w:szCs w:val="21"/>
        </w:rPr>
        <w:t xml:space="preserve">pricing, exclusivity and advisory terms are TO BE CONFIRMED</w:t>
      </w:r>
      <w:r>
        <w:rPr>
          <w:rFonts w:ascii="Georgia" w:cs="Georgia" w:eastAsia="Georgia" w:hAnsi="Georgia"/>
          <w:color w:val="222222"/>
          <w:sz w:val="21"/>
          <w:szCs w:val="21"/>
        </w:rPr>
        <w:t xml:space="preserve">.</w:t>
      </w:r>
    </w:p>
    <w:p>
      <w:pPr>
        <w:pStyle w:val="Heading3"/>
        <w:spacing w:after="70" w:before="160"/>
      </w:pPr>
      <w:r>
        <w:rPr>
          <w:rFonts w:ascii="Georgia" w:cs="Georgia" w:eastAsia="Georgia" w:hAnsi="Georgia"/>
          <w:b/>
          <w:bCs/>
          <w:color w:val="2E7D5B"/>
          <w:sz w:val="21"/>
          <w:szCs w:val="21"/>
        </w:rPr>
        <w:t xml:space="preserve">Community strategy</w:t>
      </w:r>
    </w:p>
    <w:p>
      <w:pPr>
        <w:spacing w:after="120" w:line="276"/>
      </w:pPr>
      <w:r>
        <w:rPr>
          <w:rFonts w:ascii="Georgia" w:cs="Georgia" w:eastAsia="Georgia" w:hAnsi="Georgia"/>
          <w:color w:val="222222"/>
          <w:sz w:val="21"/>
          <w:szCs w:val="21"/>
        </w:rPr>
        <w:t xml:space="preserve">A Western-New-York youth-sports community focus — families, coaches, facilities and organizations — activated across TikTok, Instagram, YouTube and Facebook with the call to action “start your team on Venuewise.”</w:t>
      </w:r>
    </w:p>
    <w:p>
      <w:pPr>
        <w:pStyle w:val="Heading3"/>
        <w:spacing w:after="70" w:before="160"/>
      </w:pPr>
      <w:r>
        <w:rPr>
          <w:rFonts w:ascii="Georgia" w:cs="Georgia" w:eastAsia="Georgia" w:hAnsi="Georgia"/>
          <w:b/>
          <w:bCs/>
          <w:color w:val="2E7D5B"/>
          <w:sz w:val="21"/>
          <w:szCs w:val="21"/>
        </w:rPr>
        <w:t xml:space="preserve">WNYAHL opportunity</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Honesty note: no WNYAHL partnership artifact exists in the assembled engagement record — no strategy, concept or approved material was produced under that name that this report can cite. It is therefore not represented here. If it is a live concept, it should be captured as an engagement deliverable before it can appear in this report; per the platform’s honesty principle, it is not invented to fill the heading.</w:t>
      </w:r>
    </w:p>
    <w:p>
      <w:pPr>
        <w:pStyle w:val="Heading3"/>
        <w:spacing w:after="70" w:before="160"/>
      </w:pPr>
      <w:r>
        <w:rPr>
          <w:rFonts w:ascii="Georgia" w:cs="Georgia" w:eastAsia="Georgia" w:hAnsi="Georgia"/>
          <w:b/>
          <w:bCs/>
          <w:color w:val="2E7D5B"/>
          <w:sz w:val="21"/>
          <w:szCs w:val="21"/>
        </w:rPr>
        <w:t xml:space="preserve">5-Star Sports Media opportunity</w:t>
      </w:r>
    </w:p>
    <w:p>
      <w:pPr>
        <w:spacing w:after="120" w:line="276"/>
      </w:pPr>
      <w:r>
        <w:rPr>
          <w:rFonts w:ascii="Georgia" w:cs="Georgia" w:eastAsia="Georgia" w:hAnsi="Georgia"/>
          <w:color w:val="222222"/>
          <w:sz w:val="21"/>
          <w:szCs w:val="21"/>
        </w:rPr>
        <w:t xml:space="preserve">“5-Star Sports Media” corresponds to Venuewise’s own built-in Media Operation capability — spotlights, articles, podcasts, photos and video, game coverage and scores, legends and sponsors, on a spotlight-review pipeline. It is at Partial maturity today: the pipeline is built but content is sparse. The opportunity is to activate this existing capability with content and community, not to acquire a new external partnership.</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6. Website Transformation</w:t>
      </w:r>
    </w:p>
    <w:p>
      <w:pPr>
        <w:pStyle w:val="Heading3"/>
        <w:spacing w:after="70" w:before="160"/>
      </w:pPr>
      <w:r>
        <w:rPr>
          <w:rFonts w:ascii="Georgia" w:cs="Georgia" w:eastAsia="Georgia" w:hAnsi="Georgia"/>
          <w:b/>
          <w:bCs/>
          <w:color w:val="2E7D5B"/>
          <w:sz w:val="21"/>
          <w:szCs w:val="21"/>
        </w:rPr>
        <w:t xml:space="preserve">Current website observations</w:t>
      </w:r>
    </w:p>
    <w:p>
      <w:pPr>
        <w:spacing w:after="120" w:line="276"/>
      </w:pPr>
      <w:r>
        <w:rPr>
          <w:rFonts w:ascii="Georgia" w:cs="Georgia" w:eastAsia="Georgia" w:hAnsi="Georgia"/>
          <w:color w:val="222222"/>
          <w:sz w:val="21"/>
          <w:szCs w:val="21"/>
        </w:rPr>
        <w:t xml:space="preserve">The assessment rates the current Website at 3/5 (“not built to convert or rank”) and SEO at 2/5, with a site audit noting thin metadata and no structured data. Broader external baselines remain unknown pending the gated scan.</w:t>
      </w:r>
    </w:p>
    <w:p>
      <w:pPr>
        <w:pStyle w:val="Heading3"/>
        <w:spacing w:after="70" w:before="160"/>
      </w:pPr>
      <w:r>
        <w:rPr>
          <w:rFonts w:ascii="Georgia" w:cs="Georgia" w:eastAsia="Georgia" w:hAnsi="Georgia"/>
          <w:b/>
          <w:bCs/>
          <w:color w:val="2E7D5B"/>
          <w:sz w:val="21"/>
          <w:szCs w:val="21"/>
        </w:rPr>
        <w:t xml:space="preserve">Transformation goals</w:t>
      </w:r>
    </w:p>
    <w:p>
      <w:pPr>
        <w:spacing w:after="120" w:line="276"/>
      </w:pPr>
      <w:r>
        <w:rPr>
          <w:rFonts w:ascii="Georgia" w:cs="Georgia" w:eastAsia="Georgia" w:hAnsi="Georgia"/>
          <w:color w:val="222222"/>
          <w:sz w:val="21"/>
          <w:szCs w:val="21"/>
        </w:rPr>
        <w:t xml:space="preserve">Modernize for speed, clarity and conversion; structure content for AI answer engines and search; and present clear, audience-specific paths from the first screen.</w:t>
      </w:r>
    </w:p>
    <w:p>
      <w:pPr>
        <w:pStyle w:val="Heading3"/>
        <w:spacing w:after="70" w:before="160"/>
      </w:pPr>
      <w:r>
        <w:rPr>
          <w:rFonts w:ascii="Georgia" w:cs="Georgia" w:eastAsia="Georgia" w:hAnsi="Georgia"/>
          <w:b/>
          <w:bCs/>
          <w:color w:val="2E7D5B"/>
          <w:sz w:val="21"/>
          <w:szCs w:val="21"/>
        </w:rPr>
        <w:t xml:space="preserve">Website strategy</w:t>
      </w:r>
    </w:p>
    <w:p>
      <w:pPr>
        <w:spacing w:after="120" w:line="276"/>
      </w:pPr>
      <w:r>
        <w:rPr>
          <w:rFonts w:ascii="Georgia" w:cs="Georgia" w:eastAsia="Georgia" w:hAnsi="Georgia"/>
          <w:color w:val="222222"/>
          <w:sz w:val="21"/>
          <w:szCs w:val="21"/>
        </w:rPr>
        <w:t xml:space="preserve">Lead with two audience paths, put founding-family acquisition front and center, and route partners through a dedicated hub — so each visitor sees the most relevant next step immediately.</w:t>
      </w:r>
    </w:p>
    <w:p>
      <w:pPr>
        <w:pStyle w:val="Heading3"/>
        <w:spacing w:after="70" w:before="160"/>
      </w:pPr>
      <w:r>
        <w:rPr>
          <w:rFonts w:ascii="Georgia" w:cs="Georgia" w:eastAsia="Georgia" w:hAnsi="Georgia"/>
          <w:b/>
          <w:bCs/>
          <w:color w:val="2E7D5B"/>
          <w:sz w:val="21"/>
          <w:szCs w:val="21"/>
        </w:rPr>
        <w:t xml:space="preserve">Homepage strategy</w:t>
      </w:r>
    </w:p>
    <w:p>
      <w:pPr>
        <w:spacing w:after="120" w:line="276"/>
      </w:pPr>
      <w:r>
        <w:rPr>
          <w:rFonts w:ascii="Georgia" w:cs="Georgia" w:eastAsia="Georgia" w:hAnsi="Georgia"/>
          <w:color w:val="222222"/>
          <w:sz w:val="21"/>
          <w:szCs w:val="21"/>
        </w:rPr>
        <w:t xml:space="preserve">A dominant Founding Family call to action (“Start Free”), a secondary partnerships call to action, a family differentiator line, and an honest founding-stage trust section — with every commercial term held as “TO BE CONFIRMED.”</w:t>
      </w:r>
    </w:p>
    <w:p>
      <w:pPr>
        <w:pStyle w:val="Heading3"/>
        <w:spacing w:after="70" w:before="160"/>
      </w:pPr>
      <w:r>
        <w:rPr>
          <w:rFonts w:ascii="Georgia" w:cs="Georgia" w:eastAsia="Georgia" w:hAnsi="Georgia"/>
          <w:b/>
          <w:bCs/>
          <w:color w:val="2E7D5B"/>
          <w:sz w:val="21"/>
          <w:szCs w:val="21"/>
        </w:rPr>
        <w:t xml:space="preserve">Navigation philosophy</w:t>
      </w:r>
    </w:p>
    <w:p>
      <w:pPr>
        <w:spacing w:after="120" w:line="276"/>
      </w:pPr>
      <w:r>
        <w:rPr>
          <w:rFonts w:ascii="Georgia" w:cs="Georgia" w:eastAsia="Georgia" w:hAnsi="Georgia"/>
          <w:color w:val="222222"/>
          <w:sz w:val="21"/>
          <w:szCs w:val="21"/>
        </w:rPr>
        <w:t xml:space="preserve">Two primary paths — Families and Partners. Organizations and Coaches are sub-paths reached through the Founding Partner hub, which also carries dedicated League and Facility sections.</w:t>
      </w:r>
    </w:p>
    <w:p>
      <w:pPr>
        <w:pStyle w:val="Heading3"/>
        <w:spacing w:after="70" w:before="160"/>
      </w:pPr>
      <w:r>
        <w:rPr>
          <w:rFonts w:ascii="Georgia" w:cs="Georgia" w:eastAsia="Georgia" w:hAnsi="Georgia"/>
          <w:b/>
          <w:bCs/>
          <w:color w:val="2E7D5B"/>
          <w:sz w:val="21"/>
          <w:szCs w:val="21"/>
        </w:rPr>
        <w:t xml:space="preserve">Customer journey</w:t>
      </w:r>
    </w:p>
    <w:p>
      <w:pPr>
        <w:spacing w:after="120" w:line="276"/>
      </w:pPr>
      <w:r>
        <w:rPr>
          <w:rFonts w:ascii="Georgia" w:cs="Georgia" w:eastAsia="Georgia" w:hAnsi="Georgia"/>
          <w:color w:val="222222"/>
          <w:sz w:val="21"/>
          <w:szCs w:val="21"/>
        </w:rPr>
        <w:t xml:space="preserve">The family path leads to “Start Free”; the partner path leads to “Request details.” In the preview these calls to action are intentionally inert (see Section 7).</w:t>
      </w:r>
    </w:p>
    <w:p>
      <w:pPr>
        <w:pStyle w:val="Heading3"/>
        <w:spacing w:after="70" w:before="160"/>
      </w:pPr>
      <w:r>
        <w:rPr>
          <w:rFonts w:ascii="Georgia" w:cs="Georgia" w:eastAsia="Georgia" w:hAnsi="Georgia"/>
          <w:b/>
          <w:bCs/>
          <w:color w:val="2E7D5B"/>
          <w:sz w:val="21"/>
          <w:szCs w:val="21"/>
        </w:rPr>
        <w:t xml:space="preserve">Transformation messaging</w:t>
      </w:r>
    </w:p>
    <w:p>
      <w:pPr>
        <w:spacing w:after="120" w:line="276"/>
      </w:pPr>
      <w:r>
        <w:rPr>
          <w:rFonts w:ascii="Georgia" w:cs="Georgia" w:eastAsia="Georgia" w:hAnsi="Georgia"/>
          <w:color w:val="222222"/>
          <w:sz w:val="21"/>
          <w:szCs w:val="21"/>
        </w:rPr>
        <w:t xml:space="preserve">Emotional elevation without added length, and honesty by construction: integrations are described as “works alongside the apps you already use,” with named sources placeheld until confirmed.</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7. Website Preview</w:t>
      </w:r>
    </w:p>
    <w:p>
      <w:pPr>
        <w:pStyle w:val="Heading3"/>
        <w:spacing w:after="70" w:before="160"/>
      </w:pPr>
      <w:r>
        <w:rPr>
          <w:rFonts w:ascii="Georgia" w:cs="Georgia" w:eastAsia="Georgia" w:hAnsi="Georgia"/>
          <w:b/>
          <w:bCs/>
          <w:color w:val="2E7D5B"/>
          <w:sz w:val="21"/>
          <w:szCs w:val="21"/>
        </w:rPr>
        <w:t xml:space="preserve">Version 1</w:t>
      </w:r>
    </w:p>
    <w:p>
      <w:pPr>
        <w:spacing w:after="120" w:line="276"/>
      </w:pPr>
      <w:r>
        <w:rPr>
          <w:rFonts w:ascii="Georgia" w:cs="Georgia" w:eastAsia="Georgia" w:hAnsi="Georgia"/>
          <w:color w:val="222222"/>
          <w:sz w:val="21"/>
          <w:szCs w:val="21"/>
        </w:rPr>
        <w:t xml:space="preserve">A private, static, non-public preview of the proposed website was produced for internal review: five self-contained pages — Homepage, Founding Families, Founding Partner, Organizations and Coaches — executing the “Back to the Game” theme and the elevated Website Copy V1. It is a visual approval prototype only; the live Venuewise website was not touched.</w:t>
      </w:r>
    </w:p>
    <w:p>
      <w:pPr>
        <w:pStyle w:val="Heading3"/>
        <w:spacing w:after="70" w:before="160"/>
      </w:pPr>
      <w:r>
        <w:rPr>
          <w:rFonts w:ascii="Georgia" w:cs="Georgia" w:eastAsia="Georgia" w:hAnsi="Georgia"/>
          <w:b/>
          <w:bCs/>
          <w:color w:val="2E7D5B"/>
          <w:sz w:val="21"/>
          <w:szCs w:val="21"/>
        </w:rPr>
        <w:t xml:space="preserve">Executive Creative Review</w:t>
      </w:r>
    </w:p>
    <w:p>
      <w:pPr>
        <w:spacing w:after="120" w:line="276"/>
      </w:pPr>
      <w:r>
        <w:rPr>
          <w:rFonts w:ascii="Georgia" w:cs="Georgia" w:eastAsia="Georgia" w:hAnsi="Georgia"/>
          <w:color w:val="222222"/>
          <w:sz w:val="21"/>
          <w:szCs w:val="21"/>
        </w:rPr>
        <w:t xml:space="preserve">The creative direction was reviewed and approved as the “Back to the Game” asset framework — a warm, original Western-New-York sports design system (palette, headline treatment, layout, calendar hero motif, and a plain-text “Venuewise” wordmark). No existing Venuewise brand assets, logos or fonts were available in the record, so none were copied or fabricated.</w:t>
      </w:r>
    </w:p>
    <w:p>
      <w:pPr>
        <w:pStyle w:val="Heading3"/>
        <w:spacing w:after="70" w:before="160"/>
      </w:pPr>
      <w:r>
        <w:rPr>
          <w:rFonts w:ascii="Georgia" w:cs="Georgia" w:eastAsia="Georgia" w:hAnsi="Georgia"/>
          <w:b/>
          <w:bCs/>
          <w:color w:val="2E7D5B"/>
          <w:sz w:val="21"/>
          <w:szCs w:val="21"/>
        </w:rPr>
        <w:t xml:space="preserve">Website Preview Review</w:t>
      </w:r>
    </w:p>
    <w:p>
      <w:pPr>
        <w:spacing w:after="120" w:line="276"/>
      </w:pPr>
      <w:r>
        <w:rPr>
          <w:rFonts w:ascii="Georgia" w:cs="Georgia" w:eastAsia="Georgia" w:hAnsi="Georgia"/>
          <w:color w:val="222222"/>
          <w:sz w:val="21"/>
          <w:szCs w:val="21"/>
        </w:rPr>
        <w:t xml:space="preserve">The preview was reviewed and confirmed review-safe by construction: a persistent “Not Live” ribbon on every page, no-index directives and crawl disallow, inert conversion actions, no production connection, and no fabricated logos, testimonials, statistics or pricing.</w:t>
      </w:r>
    </w:p>
    <w:p>
      <w:pPr>
        <w:pStyle w:val="Heading3"/>
        <w:spacing w:after="70" w:before="160"/>
      </w:pPr>
      <w:r>
        <w:rPr>
          <w:rFonts w:ascii="Georgia" w:cs="Georgia" w:eastAsia="Georgia" w:hAnsi="Georgia"/>
          <w:b/>
          <w:bCs/>
          <w:color w:val="2E7D5B"/>
          <w:sz w:val="21"/>
          <w:szCs w:val="21"/>
        </w:rPr>
        <w:t xml:space="preserve">Approved direction</w:t>
      </w:r>
    </w:p>
    <w:p>
      <w:pPr>
        <w:pStyle w:val="ListParagraph"/>
        <w:numPr>
          <w:ilvl w:val="0"/>
          <w:numId w:val="2"/>
        </w:numPr>
        <w:spacing w:after="60" w:line="268"/>
      </w:pPr>
      <w:r>
        <w:rPr>
          <w:rFonts w:ascii="Georgia" w:cs="Georgia" w:eastAsia="Georgia" w:hAnsi="Georgia"/>
          <w:color w:val="222222"/>
          <w:sz w:val="21"/>
          <w:szCs w:val="21"/>
        </w:rPr>
        <w:t xml:space="preserve">The “Back to the Game” theme and elevated Website Copy V1 as the creative and copy baseline.</w:t>
      </w:r>
    </w:p>
    <w:p>
      <w:pPr>
        <w:pStyle w:val="ListParagraph"/>
        <w:numPr>
          <w:ilvl w:val="0"/>
          <w:numId w:val="2"/>
        </w:numPr>
        <w:spacing w:after="60" w:line="268"/>
      </w:pPr>
      <w:r>
        <w:rPr>
          <w:rFonts w:ascii="Georgia" w:cs="Georgia" w:eastAsia="Georgia" w:hAnsi="Georgia"/>
          <w:color w:val="222222"/>
          <w:sz w:val="21"/>
          <w:szCs w:val="21"/>
        </w:rPr>
        <w:t xml:space="preserve">Two audience paths (Families, Partners) with a founding-family-first homepage.</w:t>
      </w:r>
    </w:p>
    <w:p>
      <w:pPr>
        <w:pStyle w:val="ListParagraph"/>
        <w:numPr>
          <w:ilvl w:val="0"/>
          <w:numId w:val="2"/>
        </w:numPr>
        <w:spacing w:after="60" w:line="268"/>
      </w:pPr>
      <w:r>
        <w:rPr>
          <w:rFonts w:ascii="Georgia" w:cs="Georgia" w:eastAsia="Georgia" w:hAnsi="Georgia"/>
          <w:color w:val="222222"/>
          <w:sz w:val="21"/>
          <w:szCs w:val="21"/>
        </w:rPr>
        <w:t xml:space="preserve">Honesty by construction — every commercial term held as “TO BE CONFIRMED” pending owner confirmation before any external review.</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8. Business Transformation Roadmap</w:t>
      </w:r>
    </w:p>
    <w:p>
      <w:pPr>
        <w:pBdr>
          <w:left w:val="single" w:color="2E7D5B" w:sz="18" w:space="8"/>
        </w:pBdr>
        <w:shd w:fill="EEF2F6" w:color="auto" w:val="clear"/>
        <w:spacing w:after="140" w:before="80" w:line="276"/>
      </w:pPr>
      <w:r>
        <w:rPr>
          <w:rFonts w:ascii="Georgia" w:cs="Georgia" w:eastAsia="Georgia" w:hAnsi="Georgia"/>
          <w:i/>
          <w:iCs/>
          <w:color w:val="44546A"/>
          <w:sz w:val="20"/>
          <w:szCs w:val="20"/>
        </w:rPr>
        <w:t xml:space="preserve">  The roadmap below reproduces only already-approved work: the deterministic transformation roadmap from the assessment and the reference-implementation 90-day plan. Sequencing follows severity and dependency; no new initiatives are introduced.</w:t>
      </w:r>
    </w:p>
    <w:p>
      <w:pPr>
        <w:pStyle w:val="Heading2"/>
        <w:spacing w:after="90" w:before="220"/>
      </w:pPr>
      <w:r>
        <w:rPr>
          <w:rFonts w:ascii="Georgia" w:cs="Georgia" w:eastAsia="Georgia" w:hAnsi="Georgia"/>
          <w:b/>
          <w:bCs/>
          <w:color w:val="44546A"/>
          <w:sz w:val="24"/>
          <w:szCs w:val="24"/>
        </w:rPr>
        <w:t xml:space="preserve">Phase 1 — Immediate (0–30 days)</w:t>
      </w:r>
    </w:p>
    <w:p>
      <w:pPr>
        <w:pStyle w:val="ListParagraph"/>
        <w:numPr>
          <w:ilvl w:val="0"/>
          <w:numId w:val="2"/>
        </w:numPr>
        <w:spacing w:after="60" w:line="268"/>
      </w:pPr>
      <w:r>
        <w:rPr>
          <w:rFonts w:ascii="Georgia" w:cs="Georgia" w:eastAsia="Georgia" w:hAnsi="Georgia"/>
          <w:color w:val="222222"/>
          <w:sz w:val="21"/>
          <w:szCs w:val="21"/>
        </w:rPr>
        <w:t xml:space="preserve">AI Search Optimization (critical) — optimize for AI search (AEO) with structured content.</w:t>
      </w:r>
    </w:p>
    <w:p>
      <w:pPr>
        <w:pStyle w:val="ListParagraph"/>
        <w:numPr>
          <w:ilvl w:val="0"/>
          <w:numId w:val="2"/>
        </w:numPr>
        <w:spacing w:after="60" w:line="268"/>
      </w:pPr>
      <w:r>
        <w:rPr>
          <w:rFonts w:ascii="Georgia" w:cs="Georgia" w:eastAsia="Georgia" w:hAnsi="Georgia"/>
          <w:color w:val="222222"/>
          <w:sz w:val="21"/>
          <w:szCs w:val="21"/>
        </w:rPr>
        <w:t xml:space="preserve">AI Assistants (critical) — introduce governed AI assistants for key roles.</w:t>
      </w:r>
    </w:p>
    <w:p>
      <w:pPr>
        <w:pStyle w:val="ListParagraph"/>
        <w:numPr>
          <w:ilvl w:val="0"/>
          <w:numId w:val="2"/>
        </w:numPr>
        <w:spacing w:after="60" w:line="268"/>
      </w:pPr>
      <w:r>
        <w:rPr>
          <w:rFonts w:ascii="Georgia" w:cs="Georgia" w:eastAsia="Georgia" w:hAnsi="Georgia"/>
          <w:color w:val="222222"/>
          <w:sz w:val="21"/>
          <w:szCs w:val="21"/>
        </w:rPr>
        <w:t xml:space="preserve">Internal AI Workflows (critical) — deploy internal AI workflows with guardrails.</w:t>
      </w:r>
    </w:p>
    <w:p>
      <w:pPr>
        <w:pStyle w:val="ListParagraph"/>
        <w:numPr>
          <w:ilvl w:val="0"/>
          <w:numId w:val="2"/>
        </w:numPr>
        <w:spacing w:after="60" w:line="268"/>
      </w:pPr>
      <w:r>
        <w:rPr>
          <w:rFonts w:ascii="Georgia" w:cs="Georgia" w:eastAsia="Georgia" w:hAnsi="Georgia"/>
          <w:color w:val="222222"/>
          <w:sz w:val="21"/>
          <w:szCs w:val="21"/>
        </w:rPr>
        <w:t xml:space="preserve">Security (high) — close priority security gaps and add monitoring.</w:t>
      </w:r>
    </w:p>
    <w:p>
      <w:pPr>
        <w:pStyle w:val="ListParagraph"/>
        <w:numPr>
          <w:ilvl w:val="0"/>
          <w:numId w:val="2"/>
        </w:numPr>
        <w:spacing w:after="60" w:line="268"/>
      </w:pPr>
      <w:r>
        <w:rPr>
          <w:rFonts w:ascii="Georgia" w:cs="Georgia" w:eastAsia="Georgia" w:hAnsi="Georgia"/>
          <w:color w:val="222222"/>
          <w:sz w:val="21"/>
          <w:szCs w:val="21"/>
        </w:rPr>
        <w:t xml:space="preserve">Run the live VisibilityAI scan + HL-BTI assessment to establish real external baselines (gated).</w:t>
      </w:r>
    </w:p>
    <w:p>
      <w:pPr>
        <w:pStyle w:val="ListParagraph"/>
        <w:numPr>
          <w:ilvl w:val="0"/>
          <w:numId w:val="2"/>
        </w:numPr>
        <w:spacing w:after="60" w:line="268"/>
      </w:pPr>
      <w:r>
        <w:rPr>
          <w:rFonts w:ascii="Georgia" w:cs="Georgia" w:eastAsia="Georgia" w:hAnsi="Georgia"/>
          <w:color w:val="222222"/>
          <w:sz w:val="21"/>
          <w:szCs w:val="21"/>
        </w:rPr>
        <w:t xml:space="preserve">Obtain owner confirmation of the four open commercial decisions (see Appendix).</w:t>
      </w:r>
    </w:p>
    <w:p>
      <w:pPr>
        <w:pStyle w:val="Heading2"/>
        <w:spacing w:after="90" w:before="220"/>
      </w:pPr>
      <w:r>
        <w:rPr>
          <w:rFonts w:ascii="Georgia" w:cs="Georgia" w:eastAsia="Georgia" w:hAnsi="Georgia"/>
          <w:b/>
          <w:bCs/>
          <w:color w:val="44546A"/>
          <w:sz w:val="24"/>
          <w:szCs w:val="24"/>
        </w:rPr>
        <w:t xml:space="preserve">Phase 2 — Short-Term (30–90 days)</w:t>
      </w:r>
    </w:p>
    <w:p>
      <w:pPr>
        <w:pStyle w:val="ListParagraph"/>
        <w:numPr>
          <w:ilvl w:val="0"/>
          <w:numId w:val="2"/>
        </w:numPr>
        <w:spacing w:after="60" w:line="268"/>
      </w:pPr>
      <w:r>
        <w:rPr>
          <w:rFonts w:ascii="Georgia" w:cs="Georgia" w:eastAsia="Georgia" w:hAnsi="Georgia"/>
          <w:color w:val="222222"/>
          <w:sz w:val="21"/>
          <w:szCs w:val="21"/>
        </w:rPr>
        <w:t xml:space="preserve">Conversion &amp; Lead Generation (high) — optimize the funnel and follow-up motion; build a measurable lead-generation system.</w:t>
      </w:r>
    </w:p>
    <w:p>
      <w:pPr>
        <w:pStyle w:val="ListParagraph"/>
        <w:numPr>
          <w:ilvl w:val="0"/>
          <w:numId w:val="2"/>
        </w:numPr>
        <w:spacing w:after="60" w:line="268"/>
      </w:pPr>
      <w:r>
        <w:rPr>
          <w:rFonts w:ascii="Georgia" w:cs="Georgia" w:eastAsia="Georgia" w:hAnsi="Georgia"/>
          <w:color w:val="222222"/>
          <w:sz w:val="21"/>
          <w:szCs w:val="21"/>
        </w:rPr>
        <w:t xml:space="preserve">SEO (high) — run an SEO foundation and content program.</w:t>
      </w:r>
    </w:p>
    <w:p>
      <w:pPr>
        <w:pStyle w:val="ListParagraph"/>
        <w:numPr>
          <w:ilvl w:val="0"/>
          <w:numId w:val="2"/>
        </w:numPr>
        <w:spacing w:after="60" w:line="268"/>
      </w:pPr>
      <w:r>
        <w:rPr>
          <w:rFonts w:ascii="Georgia" w:cs="Georgia" w:eastAsia="Georgia" w:hAnsi="Georgia"/>
          <w:color w:val="222222"/>
          <w:sz w:val="21"/>
          <w:szCs w:val="21"/>
        </w:rPr>
        <w:t xml:space="preserve">Architecture (high) &amp; Processes (medium) — define a target architecture/integration plan; standardize the highest-friction processes.</w:t>
      </w:r>
    </w:p>
    <w:p>
      <w:pPr>
        <w:pStyle w:val="ListParagraph"/>
        <w:numPr>
          <w:ilvl w:val="0"/>
          <w:numId w:val="2"/>
        </w:numPr>
        <w:spacing w:after="60" w:line="268"/>
      </w:pPr>
      <w:r>
        <w:rPr>
          <w:rFonts w:ascii="Georgia" w:cs="Georgia" w:eastAsia="Georgia" w:hAnsi="Georgia"/>
          <w:color w:val="222222"/>
          <w:sz w:val="21"/>
          <w:szCs w:val="21"/>
        </w:rPr>
        <w:t xml:space="preserve">Website (medium) — launch the modernized site after owner confirmation; assemble Sports Intelligence + Review Management; approve the campaign.</w:t>
      </w:r>
    </w:p>
    <w:p>
      <w:pPr>
        <w:pStyle w:val="Heading2"/>
        <w:spacing w:after="90" w:before="220"/>
      </w:pPr>
      <w:r>
        <w:rPr>
          <w:rFonts w:ascii="Georgia" w:cs="Georgia" w:eastAsia="Georgia" w:hAnsi="Georgia"/>
          <w:b/>
          <w:bCs/>
          <w:color w:val="44546A"/>
          <w:sz w:val="24"/>
          <w:szCs w:val="24"/>
        </w:rPr>
        <w:t xml:space="preserve">Phase 3 — Medium-Term (3–6 months)</w:t>
      </w:r>
    </w:p>
    <w:p>
      <w:pPr>
        <w:pStyle w:val="ListParagraph"/>
        <w:numPr>
          <w:ilvl w:val="0"/>
          <w:numId w:val="2"/>
        </w:numPr>
        <w:spacing w:after="60" w:line="268"/>
      </w:pPr>
      <w:r>
        <w:rPr>
          <w:rFonts w:ascii="Georgia" w:cs="Georgia" w:eastAsia="Georgia" w:hAnsi="Georgia"/>
          <w:color w:val="222222"/>
          <w:sz w:val="21"/>
          <w:szCs w:val="21"/>
        </w:rPr>
        <w:t xml:space="preserve">Growth Readiness (medium) — build the systems foundation required to scale.</w:t>
      </w:r>
    </w:p>
    <w:p>
      <w:pPr>
        <w:pStyle w:val="ListParagraph"/>
        <w:numPr>
          <w:ilvl w:val="0"/>
          <w:numId w:val="2"/>
        </w:numPr>
        <w:spacing w:after="60" w:line="268"/>
      </w:pPr>
      <w:r>
        <w:rPr>
          <w:rFonts w:ascii="Georgia" w:cs="Georgia" w:eastAsia="Georgia" w:hAnsi="Georgia"/>
          <w:color w:val="222222"/>
          <w:sz w:val="21"/>
          <w:szCs w:val="21"/>
        </w:rPr>
        <w:t xml:space="preserve">Launch the social campaign, onboard teams, and measure engagement and retention against the newly established baselines.</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9. Executive Conclusions</w:t>
      </w:r>
    </w:p>
    <w:p>
      <w:pPr>
        <w:pStyle w:val="Heading3"/>
        <w:spacing w:after="70" w:before="160"/>
      </w:pPr>
      <w:r>
        <w:rPr>
          <w:rFonts w:ascii="Georgia" w:cs="Georgia" w:eastAsia="Georgia" w:hAnsi="Georgia"/>
          <w:b/>
          <w:bCs/>
          <w:color w:val="2E7D5B"/>
          <w:sz w:val="21"/>
          <w:szCs w:val="21"/>
        </w:rPr>
        <w:t xml:space="preserve">Current readiness</w:t>
      </w:r>
    </w:p>
    <w:p>
      <w:pPr>
        <w:spacing w:after="120" w:line="276"/>
      </w:pPr>
      <w:r>
        <w:rPr>
          <w:rFonts w:ascii="Georgia" w:cs="Georgia" w:eastAsia="Georgia" w:hAnsi="Georgia"/>
          <w:color w:val="222222"/>
          <w:sz w:val="21"/>
          <w:szCs w:val="21"/>
        </w:rPr>
        <w:t xml:space="preserve">Product and engineering readiness is high — a mature backend, 100% factory transformation readiness, ~86% capability reuse, and a working payments flow. Demand-side readiness is low — visibility, conversion, lead generation and AI are the weak points. A new website and copy are drafted and previewed, awaiting owner confirmation of commercial terms.</w:t>
      </w:r>
    </w:p>
    <w:p>
      <w:pPr>
        <w:pStyle w:val="Heading3"/>
        <w:spacing w:after="70" w:before="160"/>
      </w:pPr>
      <w:r>
        <w:rPr>
          <w:rFonts w:ascii="Georgia" w:cs="Georgia" w:eastAsia="Georgia" w:hAnsi="Georgia"/>
          <w:b/>
          <w:bCs/>
          <w:color w:val="2E7D5B"/>
          <w:sz w:val="21"/>
          <w:szCs w:val="21"/>
        </w:rPr>
        <w:t xml:space="preserve">Primary priorities</w:t>
      </w:r>
    </w:p>
    <w:p>
      <w:pPr>
        <w:pStyle w:val="ListParagraph"/>
        <w:numPr>
          <w:ilvl w:val="0"/>
          <w:numId w:val="3"/>
        </w:numPr>
        <w:spacing w:after="60" w:line="268"/>
      </w:pPr>
      <w:r>
        <w:rPr>
          <w:rFonts w:ascii="Georgia" w:cs="Georgia" w:eastAsia="Georgia" w:hAnsi="Georgia"/>
          <w:color w:val="222222"/>
          <w:sz w:val="21"/>
          <w:szCs w:val="21"/>
        </w:rPr>
        <w:t xml:space="preserve">Close the AI-readiness gap (AEO, governed assistants, internal AI workflows).</w:t>
      </w:r>
    </w:p>
    <w:p>
      <w:pPr>
        <w:pStyle w:val="ListParagraph"/>
        <w:numPr>
          <w:ilvl w:val="0"/>
          <w:numId w:val="3"/>
        </w:numPr>
        <w:spacing w:after="60" w:line="268"/>
      </w:pPr>
      <w:r>
        <w:rPr>
          <w:rFonts w:ascii="Georgia" w:cs="Georgia" w:eastAsia="Georgia" w:hAnsi="Georgia"/>
          <w:color w:val="222222"/>
          <w:sz w:val="21"/>
          <w:szCs w:val="21"/>
        </w:rPr>
        <w:t xml:space="preserve">Repair the growth system (SEO foundation, funnel conversion, repeatable lead generation).</w:t>
      </w:r>
    </w:p>
    <w:p>
      <w:pPr>
        <w:pStyle w:val="ListParagraph"/>
        <w:numPr>
          <w:ilvl w:val="0"/>
          <w:numId w:val="3"/>
        </w:numPr>
        <w:spacing w:after="60" w:line="268"/>
      </w:pPr>
      <w:r>
        <w:rPr>
          <w:rFonts w:ascii="Georgia" w:cs="Georgia" w:eastAsia="Georgia" w:hAnsi="Georgia"/>
          <w:color w:val="222222"/>
          <w:sz w:val="21"/>
          <w:szCs w:val="21"/>
        </w:rPr>
        <w:t xml:space="preserve">Confirm the four commercial terms and launch the new website and campaign.</w:t>
      </w:r>
    </w:p>
    <w:p>
      <w:pPr>
        <w:pStyle w:val="Heading3"/>
        <w:spacing w:after="70" w:before="160"/>
      </w:pPr>
      <w:r>
        <w:rPr>
          <w:rFonts w:ascii="Georgia" w:cs="Georgia" w:eastAsia="Georgia" w:hAnsi="Georgia"/>
          <w:b/>
          <w:bCs/>
          <w:color w:val="2E7D5B"/>
          <w:sz w:val="21"/>
          <w:szCs w:val="21"/>
        </w:rPr>
        <w:t xml:space="preserve">Business impact</w:t>
      </w:r>
    </w:p>
    <w:p>
      <w:pPr>
        <w:spacing w:after="120" w:line="276"/>
      </w:pPr>
      <w:r>
        <w:rPr>
          <w:rFonts w:ascii="Georgia" w:cs="Georgia" w:eastAsia="Georgia" w:hAnsi="Georgia"/>
          <w:color w:val="222222"/>
          <w:sz w:val="21"/>
          <w:szCs w:val="21"/>
        </w:rPr>
        <w:t xml:space="preserve">This is an analysis-only engagement. Financial values — automation savings, operating-cost reduction, revenue and recurring-revenue opportunity — are pending the inputs required to state them (monthly manual-labor hours and loaded cost, monthly operating cost, current revenue and conversion data). No return figures are asserted without those inputs.</w:t>
      </w:r>
    </w:p>
    <w:p>
      <w:pPr>
        <w:pStyle w:val="Heading3"/>
        <w:spacing w:after="70" w:before="160"/>
      </w:pPr>
      <w:r>
        <w:rPr>
          <w:rFonts w:ascii="Georgia" w:cs="Georgia" w:eastAsia="Georgia" w:hAnsi="Georgia"/>
          <w:b/>
          <w:bCs/>
          <w:color w:val="2E7D5B"/>
          <w:sz w:val="21"/>
          <w:szCs w:val="21"/>
        </w:rPr>
        <w:t xml:space="preserve">Expected transformation</w:t>
      </w:r>
    </w:p>
    <w:p>
      <w:pPr>
        <w:spacing w:after="120" w:line="276"/>
      </w:pPr>
      <w:r>
        <w:rPr>
          <w:rFonts w:ascii="Georgia" w:cs="Georgia" w:eastAsia="Georgia" w:hAnsi="Georgia"/>
          <w:color w:val="222222"/>
          <w:sz w:val="21"/>
          <w:szCs w:val="21"/>
        </w:rPr>
        <w:t xml:space="preserve">The intended shift is from a strong-but-under-marketed live product to a visible, converting, AI-enabled youth-sports platform — stated as targets, to be measured against baselines established by the gated scan, not as guaranteed outcomes.</w:t>
      </w:r>
    </w:p>
    <w:p>
      <w:r>
        <w:br w:type="page"/>
      </w:r>
    </w:p>
    <w:p>
      <w:pPr>
        <w:pStyle w:val="Heading1"/>
        <w:pBdr>
          <w:bottom w:val="single" w:color="1F3A5F" w:sz="8" w:space="6"/>
        </w:pBdr>
        <w:spacing w:after="140" w:before="320"/>
      </w:pPr>
      <w:r>
        <w:rPr>
          <w:rFonts w:ascii="Georgia" w:cs="Georgia" w:eastAsia="Georgia" w:hAnsi="Georgia"/>
          <w:b/>
          <w:bCs/>
          <w:color w:val="1F3A5F"/>
          <w:sz w:val="30"/>
          <w:szCs w:val="30"/>
        </w:rPr>
        <w:t xml:space="preserve">10. Appendix</w:t>
      </w:r>
    </w:p>
    <w:p>
      <w:pPr>
        <w:pStyle w:val="Heading2"/>
        <w:spacing w:after="90" w:before="220"/>
      </w:pPr>
      <w:r>
        <w:rPr>
          <w:rFonts w:ascii="Georgia" w:cs="Georgia" w:eastAsia="Georgia" w:hAnsi="Georgia"/>
          <w:b/>
          <w:bCs/>
          <w:color w:val="44546A"/>
          <w:sz w:val="24"/>
          <w:szCs w:val="24"/>
        </w:rPr>
        <w:t xml:space="preserve">A. Evidence summary</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6365"/>
        <w:gridCol w:w="2995"/>
      </w:tblGrid>
      <w:tr>
        <w:trPr>
          <w:tblHeader/>
        </w:trPr>
        <w:tc>
          <w:tcPr>
            <w:tcW w:type="dxa" w:w="6365"/>
            <w:shd w:fill="1F3A5F" w:color="auto" w:val="clear"/>
            <w:tcMar>
              <w:top w:type="dxa" w:w="40"/>
              <w:left w:type="dxa" w:w="90"/>
              <w:bottom w:type="dxa" w:w="40"/>
              <w:right w:type="dxa" w:w="90"/>
            </w:tcMar>
          </w:tcPr>
          <w:p>
            <w:pPr>
              <w:spacing w:after="0" w:line="252"/>
            </w:pPr>
            <w:r>
              <w:rPr>
                <w:rFonts w:ascii="Georgia" w:cs="Georgia" w:eastAsia="Georgia" w:hAnsi="Georgia"/>
                <w:b/>
                <w:bCs/>
                <w:color w:val="FFFFFF"/>
                <w:sz w:val="19"/>
                <w:szCs w:val="19"/>
              </w:rPr>
              <w:t xml:space="preserve">Signal</w:t>
            </w:r>
          </w:p>
        </w:tc>
        <w:tc>
          <w:tcPr>
            <w:tcW w:type="dxa" w:w="2995"/>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Value</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Tables (all RLS-enabled)</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93</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Database functions</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69</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Edge functions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23</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Tracked migrations</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73</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Live cron jobs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5</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SMS sent (sms_outbox)</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284</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Page views (page_views)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703</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Events / calendar entries</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118 / 93</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Workflow executions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52</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Active subscriptions (Stripe live)</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Assessment domains / dimensions / findings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4 / 16 / 11</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Claim classification (FACT / INFERENCE / OPINION)</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11 / 22 / 11</w:t>
            </w:r>
          </w:p>
        </w:tc>
      </w:tr>
    </w:tbl>
    <w:p>
      <w:pPr>
        <w:spacing w:after="120"/>
      </w:pPr>
    </w:p>
    <w:p>
      <w:pPr>
        <w:pStyle w:val="Heading2"/>
        <w:spacing w:after="90" w:before="220"/>
      </w:pPr>
      <w:r>
        <w:rPr>
          <w:rFonts w:ascii="Georgia" w:cs="Georgia" w:eastAsia="Georgia" w:hAnsi="Georgia"/>
          <w:b/>
          <w:bCs/>
          <w:color w:val="44546A"/>
          <w:sz w:val="24"/>
          <w:szCs w:val="24"/>
        </w:rPr>
        <w:t xml:space="preserve">B. Transformation score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6365"/>
        <w:gridCol w:w="2995"/>
      </w:tblGrid>
      <w:tr>
        <w:trPr>
          <w:tblHeader/>
        </w:trPr>
        <w:tc>
          <w:tcPr>
            <w:tcW w:type="dxa" w:w="6365"/>
            <w:shd w:fill="1F3A5F" w:color="auto" w:val="clear"/>
            <w:tcMar>
              <w:top w:type="dxa" w:w="40"/>
              <w:left w:type="dxa" w:w="90"/>
              <w:bottom w:type="dxa" w:w="40"/>
              <w:right w:type="dxa" w:w="90"/>
            </w:tcMar>
          </w:tcPr>
          <w:p>
            <w:pPr>
              <w:spacing w:after="0" w:line="252"/>
            </w:pPr>
            <w:r>
              <w:rPr>
                <w:rFonts w:ascii="Georgia" w:cs="Georgia" w:eastAsia="Georgia" w:hAnsi="Georgia"/>
                <w:b/>
                <w:bCs/>
                <w:color w:val="FFFFFF"/>
                <w:sz w:val="19"/>
                <w:szCs w:val="19"/>
              </w:rPr>
              <w:t xml:space="preserve">Domain</w:t>
            </w:r>
          </w:p>
        </w:tc>
        <w:tc>
          <w:tcPr>
            <w:tcW w:type="dxa" w:w="2995"/>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Score</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Business</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72 / 100</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Growth</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50 / 100</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Technology</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40 / 100</w:t>
            </w:r>
          </w:p>
        </w:tc>
      </w:tr>
      <w:tr>
        <w:tc>
          <w:tcPr>
            <w:tcW w:type="dxa" w:w="6365"/>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AI readiness</w:t>
            </w:r>
          </w:p>
        </w:tc>
        <w:tc>
          <w:tcPr>
            <w:tcW w:type="dxa" w:w="2995"/>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20 / 100</w:t>
            </w:r>
          </w:p>
        </w:tc>
      </w:tr>
      <w:tr>
        <w:tc>
          <w:tcPr>
            <w:tcW w:type="dxa" w:w="6365"/>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Overall</w:t>
            </w:r>
          </w:p>
        </w:tc>
        <w:tc>
          <w:tcPr>
            <w:tcW w:type="dxa" w:w="2995"/>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47 / 100</w:t>
            </w:r>
          </w:p>
        </w:tc>
      </w:tr>
    </w:tbl>
    <w:p>
      <w:pPr>
        <w:spacing w:after="120"/>
      </w:pPr>
    </w:p>
    <w:p>
      <w:pPr>
        <w:pStyle w:val="Heading2"/>
        <w:spacing w:after="90" w:before="220"/>
      </w:pPr>
      <w:r>
        <w:rPr>
          <w:rFonts w:ascii="Georgia" w:cs="Georgia" w:eastAsia="Georgia" w:hAnsi="Georgia"/>
          <w:b/>
          <w:bCs/>
          <w:color w:val="44546A"/>
          <w:sz w:val="24"/>
          <w:szCs w:val="24"/>
        </w:rPr>
        <w:t xml:space="preserve">C. Engagement timeline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562"/>
        <w:gridCol w:w="6178"/>
        <w:gridCol w:w="2621"/>
      </w:tblGrid>
      <w:tr>
        <w:trPr>
          <w:tblHeader/>
        </w:trPr>
        <w:tc>
          <w:tcPr>
            <w:tcW w:type="dxa" w:w="562"/>
            <w:shd w:fill="1F3A5F" w:color="auto" w:val="clear"/>
            <w:tcMar>
              <w:top w:type="dxa" w:w="40"/>
              <w:left w:type="dxa" w:w="90"/>
              <w:bottom w:type="dxa" w:w="40"/>
              <w:right w:type="dxa" w:w="90"/>
            </w:tcMar>
          </w:tcPr>
          <w:p>
            <w:pPr>
              <w:spacing w:after="0" w:line="252"/>
            </w:pPr>
            <w:r>
              <w:rPr>
                <w:rFonts w:ascii="Georgia" w:cs="Georgia" w:eastAsia="Georgia" w:hAnsi="Georgia"/>
                <w:b/>
                <w:bCs/>
                <w:color w:val="FFFFFF"/>
                <w:sz w:val="19"/>
                <w:szCs w:val="19"/>
              </w:rPr>
              <w:t xml:space="preserve">#</w:t>
            </w:r>
          </w:p>
        </w:tc>
        <w:tc>
          <w:tcPr>
            <w:tcW w:type="dxa" w:w="6178"/>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Phase</w:t>
            </w:r>
          </w:p>
        </w:tc>
        <w:tc>
          <w:tcPr>
            <w:tcW w:type="dxa" w:w="2621"/>
            <w:shd w:fill="1F3A5F" w:color="auto" w:val="clear"/>
            <w:tcMar>
              <w:top w:type="dxa" w:w="40"/>
              <w:left w:type="dxa" w:w="90"/>
              <w:bottom w:type="dxa" w:w="40"/>
              <w:right w:type="dxa" w:w="90"/>
            </w:tcMar>
          </w:tcPr>
          <w:p>
            <w:pPr>
              <w:spacing w:after="0" w:line="252"/>
              <w:jc w:val="center"/>
            </w:pPr>
            <w:r>
              <w:rPr>
                <w:rFonts w:ascii="Georgia" w:cs="Georgia" w:eastAsia="Georgia" w:hAnsi="Georgia"/>
                <w:b/>
                <w:bCs/>
                <w:color w:val="FFFFFF"/>
                <w:sz w:val="19"/>
                <w:szCs w:val="19"/>
              </w:rPr>
              <w:t xml:space="preserve">Status</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1</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Business Transformation Investigation</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2</w:t>
            </w:r>
          </w:p>
        </w:tc>
        <w:tc>
          <w:tcPr>
            <w:tcW w:type="dxa" w:w="617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Internal Business Discovery</w:t>
            </w:r>
          </w:p>
        </w:tc>
        <w:tc>
          <w:tcPr>
            <w:tcW w:type="dxa" w:w="2621"/>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3</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Executive Evidence Gap Interview</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4</w:t>
            </w:r>
          </w:p>
        </w:tc>
        <w:tc>
          <w:tcPr>
            <w:tcW w:type="dxa" w:w="617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Business Transformation Findings</w:t>
            </w:r>
          </w:p>
        </w:tc>
        <w:tc>
          <w:tcPr>
            <w:tcW w:type="dxa" w:w="2621"/>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5</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Marketing Strategy</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6</w:t>
            </w:r>
          </w:p>
        </w:tc>
        <w:tc>
          <w:tcPr>
            <w:tcW w:type="dxa" w:w="617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Launch Marketing Campaign</w:t>
            </w:r>
          </w:p>
        </w:tc>
        <w:tc>
          <w:tcPr>
            <w:tcW w:type="dxa" w:w="2621"/>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7</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Founding Partner Program</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8</w:t>
            </w:r>
          </w:p>
        </w:tc>
        <w:tc>
          <w:tcPr>
            <w:tcW w:type="dxa" w:w="617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Creative Asset Framework</w:t>
            </w:r>
          </w:p>
        </w:tc>
        <w:tc>
          <w:tcPr>
            <w:tcW w:type="dxa" w:w="2621"/>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9</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Website Copy V1 (draft + elevated)</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5F8FB"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10</w:t>
            </w:r>
          </w:p>
        </w:tc>
        <w:tc>
          <w:tcPr>
            <w:tcW w:type="dxa" w:w="6178"/>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Private Website Preview (PR #29)</w:t>
            </w:r>
          </w:p>
        </w:tc>
        <w:tc>
          <w:tcPr>
            <w:tcW w:type="dxa" w:w="2621"/>
            <w:shd w:fill="F5F8FB"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Complete</w:t>
            </w:r>
          </w:p>
        </w:tc>
      </w:tr>
      <w:tr>
        <w:tc>
          <w:tcPr>
            <w:tcW w:type="dxa" w:w="562"/>
            <w:shd w:fill="FFFFFF" w:color="auto" w:val="clear"/>
            <w:tcMar>
              <w:top w:type="dxa" w:w="40"/>
              <w:left w:type="dxa" w:w="90"/>
              <w:bottom w:type="dxa" w:w="40"/>
              <w:right w:type="dxa" w:w="90"/>
            </w:tcMar>
          </w:tcPr>
          <w:p>
            <w:pPr>
              <w:spacing w:after="0" w:line="252"/>
            </w:pPr>
            <w:r>
              <w:rPr>
                <w:rFonts w:ascii="Georgia" w:cs="Georgia" w:eastAsia="Georgia" w:hAnsi="Georgia"/>
                <w:color w:val="222222"/>
                <w:sz w:val="19"/>
                <w:szCs w:val="19"/>
              </w:rPr>
              <w:t xml:space="preserve">11</w:t>
            </w:r>
          </w:p>
        </w:tc>
        <w:tc>
          <w:tcPr>
            <w:tcW w:type="dxa" w:w="6178"/>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Owner Confirmation</w:t>
            </w:r>
          </w:p>
        </w:tc>
        <w:tc>
          <w:tcPr>
            <w:tcW w:type="dxa" w:w="2621"/>
            <w:shd w:fill="FFFFFF" w:color="auto" w:val="clear"/>
            <w:tcMar>
              <w:top w:type="dxa" w:w="40"/>
              <w:left w:type="dxa" w:w="90"/>
              <w:bottom w:type="dxa" w:w="40"/>
              <w:right w:type="dxa" w:w="90"/>
            </w:tcMar>
          </w:tcPr>
          <w:p>
            <w:pPr>
              <w:spacing w:after="0" w:line="252"/>
              <w:jc w:val="center"/>
            </w:pPr>
            <w:r>
              <w:rPr>
                <w:rFonts w:ascii="Georgia" w:cs="Georgia" w:eastAsia="Georgia" w:hAnsi="Georgia"/>
                <w:color w:val="222222"/>
                <w:sz w:val="19"/>
                <w:szCs w:val="19"/>
              </w:rPr>
              <w:t xml:space="preserve">In progress</w:t>
            </w:r>
          </w:p>
        </w:tc>
      </w:tr>
    </w:tbl>
    <w:p>
      <w:pPr>
        <w:spacing w:after="120"/>
      </w:pPr>
    </w:p>
    <w:p>
      <w:pPr>
        <w:pStyle w:val="Heading2"/>
        <w:spacing w:after="90" w:before="220"/>
      </w:pPr>
      <w:r>
        <w:rPr>
          <w:rFonts w:ascii="Georgia" w:cs="Georgia" w:eastAsia="Georgia" w:hAnsi="Georgia"/>
          <w:b/>
          <w:bCs/>
          <w:color w:val="44546A"/>
          <w:sz w:val="24"/>
          <w:szCs w:val="24"/>
        </w:rPr>
        <w:t xml:space="preserve">D. Open confirmations (owner / CEO)</w:t>
      </w:r>
    </w:p>
    <w:p>
      <w:pPr>
        <w:pStyle w:val="ListParagraph"/>
        <w:numPr>
          <w:ilvl w:val="0"/>
          <w:numId w:val="2"/>
        </w:numPr>
        <w:spacing w:after="60" w:line="268"/>
      </w:pPr>
      <w:r>
        <w:rPr>
          <w:rFonts w:ascii="Georgia" w:cs="Georgia" w:eastAsia="Georgia" w:hAnsi="Georgia"/>
          <w:color w:val="222222"/>
          <w:sz w:val="21"/>
          <w:szCs w:val="21"/>
        </w:rPr>
        <w:t xml:space="preserve">Supported schedule sources at launch — LeagueApps is evidenced internally; GameChanger and TeamSnap are unverified (all shown as “TO BE CONFIRMED”).</w:t>
      </w:r>
    </w:p>
    <w:p>
      <w:pPr>
        <w:pStyle w:val="ListParagraph"/>
        <w:numPr>
          <w:ilvl w:val="0"/>
          <w:numId w:val="2"/>
        </w:numPr>
        <w:spacing w:after="60" w:line="268"/>
      </w:pPr>
      <w:r>
        <w:rPr>
          <w:rFonts w:ascii="Georgia" w:cs="Georgia" w:eastAsia="Georgia" w:hAnsi="Georgia"/>
          <w:color w:val="222222"/>
          <w:sz w:val="21"/>
          <w:szCs w:val="21"/>
        </w:rPr>
        <w:t xml:space="preserve">Founding Family benefits and duration.</w:t>
      </w:r>
    </w:p>
    <w:p>
      <w:pPr>
        <w:pStyle w:val="ListParagraph"/>
        <w:numPr>
          <w:ilvl w:val="0"/>
          <w:numId w:val="2"/>
        </w:numPr>
        <w:spacing w:after="60" w:line="268"/>
      </w:pPr>
      <w:r>
        <w:rPr>
          <w:rFonts w:ascii="Georgia" w:cs="Georgia" w:eastAsia="Georgia" w:hAnsi="Georgia"/>
          <w:color w:val="222222"/>
          <w:sz w:val="21"/>
          <w:szCs w:val="21"/>
        </w:rPr>
        <w:t xml:space="preserve">Pricing after the founding period (all pages).</w:t>
      </w:r>
    </w:p>
    <w:p>
      <w:pPr>
        <w:pStyle w:val="ListParagraph"/>
        <w:numPr>
          <w:ilvl w:val="0"/>
          <w:numId w:val="2"/>
        </w:numPr>
        <w:spacing w:after="60" w:line="268"/>
      </w:pPr>
      <w:r>
        <w:rPr>
          <w:rFonts w:ascii="Georgia" w:cs="Georgia" w:eastAsia="Georgia" w:hAnsi="Georgia"/>
          <w:color w:val="222222"/>
          <w:sz w:val="21"/>
          <w:szCs w:val="21"/>
        </w:rPr>
        <w:t xml:space="preserve">Founding Partner terms — pricing, exclusivity and advisory role.</w:t>
      </w:r>
    </w:p>
    <w:p>
      <w:pPr>
        <w:pStyle w:val="Heading2"/>
        <w:spacing w:after="90" w:before="220"/>
      </w:pPr>
      <w:r>
        <w:rPr>
          <w:rFonts w:ascii="Georgia" w:cs="Georgia" w:eastAsia="Georgia" w:hAnsi="Georgia"/>
          <w:b/>
          <w:bCs/>
          <w:color w:val="44546A"/>
          <w:sz w:val="24"/>
          <w:szCs w:val="24"/>
        </w:rPr>
        <w:t xml:space="preserve">E. Approved screenshots</w:t>
      </w:r>
    </w:p>
    <w:p>
      <w:pPr>
        <w:spacing w:after="120" w:line="276"/>
      </w:pPr>
      <w:r>
        <w:rPr>
          <w:rFonts w:ascii="Georgia" w:cs="Georgia" w:eastAsia="Georgia" w:hAnsi="Georgia"/>
          <w:color w:val="222222"/>
          <w:sz w:val="21"/>
          <w:szCs w:val="21"/>
        </w:rPr>
        <w:t xml:space="preserve">Website preview screenshots are retained with the preview (branch preview/venuewise-website-transformation-v1): desktop (1280w) for all five pages, mobile (390w) for homepage, families and partner, and tablet (834w) for the homepage. They are referenced here rather than embedded, as they live with the preview artifact.</w:t>
      </w:r>
    </w:p>
    <w:p>
      <w:pPr>
        <w:pStyle w:val="Heading2"/>
        <w:spacing w:after="90" w:before="220"/>
      </w:pPr>
      <w:r>
        <w:rPr>
          <w:rFonts w:ascii="Georgia" w:cs="Georgia" w:eastAsia="Georgia" w:hAnsi="Georgia"/>
          <w:b/>
          <w:bCs/>
          <w:color w:val="44546A"/>
          <w:sz w:val="24"/>
          <w:szCs w:val="24"/>
        </w:rPr>
        <w:t xml:space="preserve">F. Approved references</w:t>
      </w:r>
    </w:p>
    <w:p>
      <w:pPr>
        <w:pStyle w:val="ListParagraph"/>
        <w:numPr>
          <w:ilvl w:val="0"/>
          <w:numId w:val="2"/>
        </w:numPr>
        <w:spacing w:after="60" w:line="268"/>
      </w:pPr>
      <w:r>
        <w:rPr>
          <w:rFonts w:ascii="Georgia" w:cs="Georgia" w:eastAsia="Georgia" w:hAnsi="Georgia"/>
          <w:color w:val="222222"/>
          <w:sz w:val="21"/>
          <w:szCs w:val="21"/>
        </w:rPr>
        <w:t xml:space="preserve">Venuewise Internal Transformation Assessment — docs/products/hl-bti-consulting/09-venuewise-internal-case-study.md</w:t>
      </w:r>
    </w:p>
    <w:p>
      <w:pPr>
        <w:pStyle w:val="ListParagraph"/>
        <w:numPr>
          <w:ilvl w:val="0"/>
          <w:numId w:val="2"/>
        </w:numPr>
        <w:spacing w:after="60" w:line="268"/>
      </w:pPr>
      <w:r>
        <w:rPr>
          <w:rFonts w:ascii="Georgia" w:cs="Georgia" w:eastAsia="Georgia" w:hAnsi="Georgia"/>
          <w:color w:val="222222"/>
          <w:sz w:val="21"/>
          <w:szCs w:val="21"/>
        </w:rPr>
        <w:t xml:space="preserve">Venuewise Capability Harvest — docs/products/venuewise-capability-harvest/</w:t>
      </w:r>
    </w:p>
    <w:p>
      <w:pPr>
        <w:pStyle w:val="ListParagraph"/>
        <w:numPr>
          <w:ilvl w:val="0"/>
          <w:numId w:val="2"/>
        </w:numPr>
        <w:spacing w:after="60" w:line="268"/>
      </w:pPr>
      <w:r>
        <w:rPr>
          <w:rFonts w:ascii="Georgia" w:cs="Georgia" w:eastAsia="Georgia" w:hAnsi="Georgia"/>
          <w:color w:val="222222"/>
          <w:sz w:val="21"/>
          <w:szCs w:val="21"/>
        </w:rPr>
        <w:t xml:space="preserve">Venuewise Backend Harvest — docs/products/venuewise-backend-harvest/</w:t>
      </w:r>
    </w:p>
    <w:p>
      <w:pPr>
        <w:pStyle w:val="ListParagraph"/>
        <w:numPr>
          <w:ilvl w:val="0"/>
          <w:numId w:val="2"/>
        </w:numPr>
        <w:spacing w:after="60" w:line="268"/>
      </w:pPr>
      <w:r>
        <w:rPr>
          <w:rFonts w:ascii="Georgia" w:cs="Georgia" w:eastAsia="Georgia" w:hAnsi="Georgia"/>
          <w:color w:val="222222"/>
          <w:sz w:val="21"/>
          <w:szCs w:val="21"/>
        </w:rPr>
        <w:t xml:space="preserve">Reference Implementation #2 — Venuewise — docs/products/reference-implementations/02-venuewise.md</w:t>
      </w:r>
    </w:p>
    <w:p>
      <w:pPr>
        <w:pStyle w:val="ListParagraph"/>
        <w:numPr>
          <w:ilvl w:val="0"/>
          <w:numId w:val="2"/>
        </w:numPr>
        <w:spacing w:after="60" w:line="268"/>
      </w:pPr>
      <w:r>
        <w:rPr>
          <w:rFonts w:ascii="Georgia" w:cs="Georgia" w:eastAsia="Georgia" w:hAnsi="Georgia"/>
          <w:color w:val="222222"/>
          <w:sz w:val="21"/>
          <w:szCs w:val="21"/>
        </w:rPr>
        <w:t xml:space="preserve">Website Preview (Transformation v1) — PR #29, branch preview/venuewise-website-transformation-v1</w:t>
      </w:r>
    </w:p>
    <w:p>
      <w:pPr>
        <w:pStyle w:val="ListParagraph"/>
        <w:numPr>
          <w:ilvl w:val="0"/>
          <w:numId w:val="2"/>
        </w:numPr>
        <w:spacing w:after="60" w:line="268"/>
      </w:pPr>
      <w:r>
        <w:rPr>
          <w:rFonts w:ascii="Georgia" w:cs="Georgia" w:eastAsia="Georgia" w:hAnsi="Georgia"/>
          <w:color w:val="222222"/>
          <w:sz w:val="21"/>
          <w:szCs w:val="21"/>
        </w:rPr>
        <w:t xml:space="preserve">Business Transformation Intelligence Center dossier (Venuewise) — PR #30, branch feature/hld-btic-v1</w:t>
      </w:r>
    </w:p>
    <w:p>
      <w:pPr>
        <w:pStyle w:val="Heading2"/>
        <w:spacing w:after="90" w:before="220"/>
      </w:pPr>
      <w:r>
        <w:rPr>
          <w:rFonts w:ascii="Georgia" w:cs="Georgia" w:eastAsia="Georgia" w:hAnsi="Georgia"/>
          <w:b/>
          <w:bCs/>
          <w:color w:val="44546A"/>
          <w:sz w:val="24"/>
          <w:szCs w:val="24"/>
        </w:rPr>
        <w:t xml:space="preserve">G. Honesty statement</w:t>
      </w:r>
    </w:p>
    <w:p>
      <w:pPr>
        <w:spacing w:after="120" w:line="276"/>
      </w:pPr>
      <w:r>
        <w:rPr>
          <w:rFonts w:ascii="Georgia" w:cs="Georgia" w:eastAsia="Georgia" w:hAnsi="Georgia"/>
          <w:color w:val="222222"/>
          <w:sz w:val="21"/>
          <w:szCs w:val="21"/>
        </w:rPr>
        <w:t xml:space="preserve">Verified facts, inferences and opinions are labeled as such in the source assessment. External market baselines are recorded as unknown pending a live scan. All commercial terms remain owner-confirmed rather than assumed, and no partnership, metric, price or outcome has been invented to complete a section — including the WNYAHL heading, for which no engagement artifact exists.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4" w:space="4"/>
      </w:pBdr>
      <w:spacing w:before="60"/>
      <w:jc w:val="center"/>
    </w:pPr>
    <w:r>
      <w:rPr>
        <w:rFonts w:ascii="Georgia" w:cs="Georgia" w:eastAsia="Georgia" w:hAnsi="Georgia"/>
        <w:color w:val="6B7280"/>
        <w:sz w:val="15"/>
        <w:szCs w:val="15"/>
      </w:rPr>
      <w:t xml:space="preserve">Herman Legacy Digital · Business Transformation Engine · Confidential — Page </w:t>
    </w:r>
    <w:r>
      <w:rPr>
        <w:rFonts w:ascii="Georgia" w:cs="Georgia" w:eastAsia="Georgia" w:hAnsi="Georgia"/>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0"/>
      <w:jc w:val="right"/>
    </w:pPr>
    <w:r>
      <w:rPr>
        <w:rFonts w:ascii="Georgia" w:cs="Georgia" w:eastAsia="Georgia" w:hAnsi="Georgia"/>
        <w:i/>
        <w:iCs/>
        <w:color w:val="6B7280"/>
        <w:sz w:val="16"/>
        <w:szCs w:val="16"/>
      </w:rPr>
      <w:t xml:space="preserve">Venuewise — Business Transformation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7D5B"/>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F3A5F"/>
      <w:sz w:val="30"/>
      <w:szCs w:val="30"/>
    </w:rPr>
  </w:style>
  <w:style w:type="paragraph" w:styleId="Heading2">
    <w:name w:val="Heading 2"/>
    <w:basedOn w:val="Normal"/>
    <w:next w:val="Normal"/>
    <w:qFormat/>
    <w:rPr>
      <w:rFonts w:ascii="Georgia" w:cs="Georgia" w:eastAsia="Georgia" w:hAnsi="Georgia"/>
      <w:b/>
      <w:bCs/>
      <w:color w:val="44546A"/>
      <w:sz w:val="24"/>
      <w:szCs w:val="24"/>
    </w:rPr>
  </w:style>
  <w:style w:type="paragraph" w:styleId="Heading3">
    <w:name w:val="Heading 3"/>
    <w:basedOn w:val="Normal"/>
    <w:next w:val="Normal"/>
    <w:qFormat/>
    <w:rPr>
      <w:rFonts w:ascii="Georgia" w:cs="Georgia" w:eastAsia="Georgia" w:hAnsi="Georgia"/>
      <w:b/>
      <w:bCs/>
      <w:color w:val="2E7D5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Venuewise Business Transformation Report</dc:title>
  <dc:creator>Herman Legacy Digital — Business Transformation Engine</dc:creator>
  <dc:description>Executive assembly of the completed Venuewise transformation engagement.</dc:description>
  <cp:lastModifiedBy>Un-named</cp:lastModifiedBy>
  <cp:revision>1</cp:revision>
  <dcterms:created xsi:type="dcterms:W3CDTF">2026-08-04T22:58:12.490Z</dcterms:created>
  <dcterms:modified xsi:type="dcterms:W3CDTF">2026-08-04T22:58:12.490Z</dcterms:modified>
</cp:coreProperties>
</file>

<file path=docProps/custom.xml><?xml version="1.0" encoding="utf-8"?>
<Properties xmlns="http://schemas.openxmlformats.org/officeDocument/2006/custom-properties" xmlns:vt="http://schemas.openxmlformats.org/officeDocument/2006/docPropsVTypes"/>
</file>