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line="276"/>
        <w:jc w:val="center"/>
      </w:pPr>
      <w:r>
        <w:rPr>
          <w:rFonts w:ascii="Georgia" w:cs="Georgia" w:eastAsia="Georgia" w:hAnsi="Georgia"/>
          <w:b/>
          <w:bCs/>
          <w:caps/>
          <w:color w:val="1F3A5F"/>
          <w:sz w:val="26"/>
          <w:szCs w:val="26"/>
        </w:rPr>
        <w:t xml:space="preserve">HERMAN LEGACY DIGITAL</w:t>
      </w:r>
    </w:p>
    <w:p>
      <w:pPr>
        <w:spacing w:after="700" w:line="276"/>
        <w:jc w:val="center"/>
      </w:pPr>
      <w:r>
        <w:rPr>
          <w:rFonts w:ascii="Georgia" w:cs="Georgia" w:eastAsia="Georgia" w:hAnsi="Georgia"/>
          <w:i/>
          <w:iCs/>
          <w:color w:val="2E7D5B"/>
          <w:sz w:val="22"/>
          <w:szCs w:val="22"/>
        </w:rPr>
        <w:t xml:space="preserve">Business Transformation Engine</w:t>
      </w:r>
    </w:p>
    <w:p>
      <w:pPr>
        <w:pBdr>
          <w:top w:val="single" w:color="1F3A5F" w:sz="12"/>
        </w:pBdr>
        <w:spacing w:after="60"/>
        <w:jc w:val="center"/>
      </w:pPr>
    </w:p>
    <w:p>
      <w:pPr>
        <w:spacing w:after="120" w:before="260" w:line="276"/>
        <w:jc w:val="center"/>
      </w:pPr>
      <w:r>
        <w:rPr>
          <w:rFonts w:ascii="Georgia" w:cs="Georgia" w:eastAsia="Georgia" w:hAnsi="Georgia"/>
          <w:b/>
          <w:bCs/>
          <w:color w:val="1F3A5F"/>
          <w:sz w:val="52"/>
          <w:szCs w:val="52"/>
        </w:rPr>
        <w:t xml:space="preserve">Business Transformation Report</w:t>
      </w:r>
    </w:p>
    <w:p>
      <w:pPr>
        <w:spacing w:after="40" w:line="276"/>
        <w:jc w:val="center"/>
      </w:pPr>
      <w:r>
        <w:rPr>
          <w:rFonts w:ascii="Georgia" w:cs="Georgia" w:eastAsia="Georgia" w:hAnsi="Georgia"/>
          <w:b/>
          <w:bCs/>
          <w:color w:val="222222"/>
          <w:sz w:val="40"/>
          <w:szCs w:val="40"/>
        </w:rPr>
        <w:t xml:space="preserve">Venuewise</w:t>
      </w:r>
    </w:p>
    <w:p>
      <w:pPr>
        <w:spacing w:after="60" w:line="276"/>
        <w:jc w:val="center"/>
      </w:pPr>
      <w:r>
        <w:rPr>
          <w:rFonts w:ascii="Georgia" w:cs="Georgia" w:eastAsia="Georgia" w:hAnsi="Georgia"/>
          <w:i/>
          <w:iCs/>
          <w:color w:val="6B7280"/>
          <w:sz w:val="20"/>
          <w:szCs w:val="20"/>
        </w:rPr>
        <w:t xml:space="preserve">Home Huddle LLC · Western New York Youth Sports</w:t>
      </w:r>
    </w:p>
    <w:p>
      <w:pPr>
        <w:pBdr>
          <w:bottom w:val="single" w:color="1F3A5F" w:sz="12"/>
        </w:pBdr>
        <w:spacing w:after="700" w:before="40"/>
        <w:jc w:val="center"/>
      </w:pPr>
    </w:p>
    <w:p>
      <w:pPr>
        <w:spacing w:after="40" w:line="276"/>
        <w:jc w:val="center"/>
      </w:pPr>
      <w:r>
        <w:rPr>
          <w:rFonts w:ascii="Georgia" w:cs="Georgia" w:eastAsia="Georgia" w:hAnsi="Georgia"/>
          <w:color w:val="44546A"/>
          <w:sz w:val="20"/>
          <w:szCs w:val="20"/>
        </w:rPr>
        <w:t xml:space="preserve">Prepared by Herman Legacy Digital · Business Transformation Engine</w:t>
      </w:r>
    </w:p>
    <w:p>
      <w:pPr>
        <w:spacing w:after="40" w:line="276"/>
        <w:jc w:val="center"/>
      </w:pPr>
      <w:r>
        <w:rPr>
          <w:rFonts w:ascii="Georgia" w:cs="Georgia" w:eastAsia="Georgia" w:hAnsi="Georgia"/>
          <w:color w:val="44546A"/>
          <w:sz w:val="20"/>
          <w:szCs w:val="20"/>
        </w:rPr>
        <w:t xml:space="preserve">August 4, 2026</w:t>
      </w:r>
    </w:p>
    <w:p>
      <w:pPr>
        <w:spacing w:after="120" w:before="900" w:line="276"/>
        <w:jc w:val="center"/>
      </w:pPr>
      <w:r>
        <w:rPr>
          <w:rFonts w:ascii="Georgia" w:cs="Georgia" w:eastAsia="Georgia" w:hAnsi="Georgia"/>
          <w:b/>
          <w:bCs/>
          <w:caps/>
          <w:color w:val="6B7280"/>
          <w:sz w:val="16"/>
          <w:szCs w:val="16"/>
        </w:rPr>
        <w:t xml:space="preserve">CONFIDENTIAL — PREPARED FOR VENUEWISE</w:t>
      </w:r>
    </w:p>
    <w:p>
      <w:pPr>
        <w:spacing w:after="120" w:before="60" w:line="276"/>
        <w:jc w:val="center"/>
      </w:pPr>
      <w:r>
        <w:rPr>
          <w:rFonts w:ascii="Georgia" w:cs="Georgia" w:eastAsia="Georgia" w:hAnsi="Georgia"/>
          <w:i/>
          <w:iCs/>
          <w:color w:val="6B7280"/>
          <w:sz w:val="16"/>
          <w:szCs w:val="16"/>
        </w:rPr>
        <w:t xml:space="preserve">Business Transformation assessment — analysis and recommendations for discussion. Items marked “To Be Confirmed” remain subject to confirmation.</w:t>
      </w:r>
    </w:p>
    <w:p>
      <w:pPr>
        <w:sectPr>
          <w:pgSz w:w="12240" w:h="15840" w:orient="portrait"/>
          <w:pgMar w:top="1440" w:right="1440" w:bottom="1440" w:left="1440" w:header="708" w:footer="708" w:gutter="0"/>
          <w:pgNumType/>
          <w:docGrid w:linePitch="360"/>
        </w:sectPr>
      </w:pPr>
    </w:p>
    <w:p>
      <w:pPr>
        <w:pStyle w:val="Heading1"/>
        <w:pBdr>
          <w:bottom w:val="single" w:color="1F3A5F" w:sz="8" w:space="6"/>
        </w:pBdr>
        <w:spacing w:after="160"/>
      </w:pPr>
      <w:r>
        <w:rPr>
          <w:rFonts w:ascii="Georgia" w:cs="Georgia" w:eastAsia="Georgia" w:hAnsi="Georgia"/>
          <w:b/>
          <w:bCs/>
          <w:color w:val="1F3A5F"/>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1. Executive Summary</w:t>
      </w:r>
    </w:p>
    <w:p>
      <w:pPr>
        <w:pStyle w:val="Heading3"/>
        <w:spacing w:after="70" w:before="160"/>
      </w:pPr>
      <w:r>
        <w:rPr>
          <w:rFonts w:ascii="Georgia" w:cs="Georgia" w:eastAsia="Georgia" w:hAnsi="Georgia"/>
          <w:b/>
          <w:bCs/>
          <w:color w:val="2E7D5B"/>
          <w:sz w:val="21"/>
          <w:szCs w:val="21"/>
        </w:rPr>
        <w:t xml:space="preserve">What Venuewise is</w:t>
      </w:r>
    </w:p>
    <w:p>
      <w:pPr>
        <w:spacing w:after="120" w:line="276"/>
      </w:pPr>
      <w:r>
        <w:rPr>
          <w:rFonts w:ascii="Georgia" w:cs="Georgia" w:eastAsia="Georgia" w:hAnsi="Georgia"/>
          <w:color w:val="222222"/>
          <w:sz w:val="21"/>
          <w:szCs w:val="21"/>
        </w:rPr>
        <w:t xml:space="preserve">Venuewise (operated by Home Huddle LLC) is a live, multi-organization youth-sports and family-coordination platform serving Western New York. It is a real, running product — not a prototype — that families, coaches, teams, facilities and organizations use today.</w:t>
      </w:r>
    </w:p>
    <w:p>
      <w:pPr>
        <w:pStyle w:val="Heading3"/>
        <w:spacing w:after="70" w:before="160"/>
      </w:pPr>
      <w:r>
        <w:rPr>
          <w:rFonts w:ascii="Georgia" w:cs="Georgia" w:eastAsia="Georgia" w:hAnsi="Georgia"/>
          <w:b/>
          <w:bCs/>
          <w:color w:val="2E7D5B"/>
          <w:sz w:val="21"/>
          <w:szCs w:val="21"/>
        </w:rPr>
        <w:t xml:space="preserve">Purpose of this report</w:t>
      </w:r>
    </w:p>
    <w:p>
      <w:pPr>
        <w:spacing w:after="120" w:line="276"/>
      </w:pPr>
      <w:r>
        <w:rPr>
          <w:rFonts w:ascii="Georgia" w:cs="Georgia" w:eastAsia="Georgia" w:hAnsi="Georgia"/>
          <w:color w:val="222222"/>
          <w:sz w:val="21"/>
          <w:szCs w:val="21"/>
        </w:rPr>
        <w:t xml:space="preserve">This report presents the findings, strategy and roadmap from Herman Legacy Digital's Business Transformation engagement for Venuewise in one executive document. It is an analysis and set of recommendations for discussion; every commercial figure not yet confirmed is shown as “To Be Confirmed.”</w:t>
      </w:r>
    </w:p>
    <w:p>
      <w:pPr>
        <w:pStyle w:val="Heading3"/>
        <w:spacing w:after="70" w:before="160"/>
      </w:pPr>
      <w:r>
        <w:rPr>
          <w:rFonts w:ascii="Georgia" w:cs="Georgia" w:eastAsia="Georgia" w:hAnsi="Georgia"/>
          <w:b/>
          <w:bCs/>
          <w:color w:val="2E7D5B"/>
          <w:sz w:val="21"/>
          <w:szCs w:val="21"/>
        </w:rPr>
        <w:t xml:space="preserve">Current business position</w:t>
      </w:r>
    </w:p>
    <w:p>
      <w:pPr>
        <w:spacing w:after="120" w:line="276"/>
      </w:pPr>
      <w:r>
        <w:rPr>
          <w:rFonts w:ascii="Georgia" w:cs="Georgia" w:eastAsia="Georgia" w:hAnsi="Georgia"/>
          <w:color w:val="222222"/>
          <w:sz w:val="21"/>
          <w:szCs w:val="21"/>
        </w:rPr>
        <w:t xml:space="preserve">Venuewise runs on a mature, actively maintained and secure software platform with live online payments and self-running automation. It genuinely operates today — with 284 automated text messages sent, 703 website page views, 118 scheduled events, 93 calendar entries, and active paid subscriptions observed. Its core business systems are complete; several sports-specific modules are fully built and simply await customers and data.</w:t>
      </w:r>
    </w:p>
    <w:p>
      <w:pPr>
        <w:pStyle w:val="Heading3"/>
        <w:spacing w:after="70" w:before="160"/>
      </w:pPr>
      <w:r>
        <w:rPr>
          <w:rFonts w:ascii="Georgia" w:cs="Georgia" w:eastAsia="Georgia" w:hAnsi="Georgia"/>
          <w:b/>
          <w:bCs/>
          <w:color w:val="2E7D5B"/>
          <w:sz w:val="21"/>
          <w:szCs w:val="21"/>
        </w:rPr>
        <w:t xml:space="preserve">Overall diagnosis</w:t>
      </w:r>
    </w:p>
    <w:p>
      <w:pPr>
        <w:spacing w:after="120" w:line="276"/>
      </w:pPr>
      <w:r>
        <w:rPr>
          <w:rFonts w:ascii="Georgia" w:cs="Georgia" w:eastAsia="Georgia" w:hAnsi="Georgia"/>
          <w:color w:val="222222"/>
          <w:sz w:val="21"/>
          <w:szCs w:val="21"/>
        </w:rPr>
        <w:t xml:space="preserve">Herman Legacy's Business Transformation assessment (analysis only): </w:t>
      </w:r>
      <w:r>
        <w:rPr>
          <w:rFonts w:ascii="Georgia" w:cs="Georgia" w:eastAsia="Georgia" w:hAnsi="Georgia"/>
          <w:b/>
          <w:bCs/>
          <w:color w:val="222222"/>
          <w:sz w:val="21"/>
          <w:szCs w:val="21"/>
        </w:rPr>
        <w:t xml:space="preserve">Transformation Score 47/100</w:t>
      </w:r>
      <w:r>
        <w:rPr>
          <w:rFonts w:ascii="Georgia" w:cs="Georgia" w:eastAsia="Georgia" w:hAnsi="Georgia"/>
          <w:color w:val="222222"/>
          <w:sz w:val="21"/>
          <w:szCs w:val="21"/>
        </w:rPr>
        <w:t xml:space="preserve"> — Business 72, Growth 50, Technology 40, AI readiness 20.</w:t>
      </w:r>
    </w:p>
    <w:p>
      <w:pPr>
        <w:spacing w:after="120" w:line="276"/>
      </w:pPr>
      <w:r>
        <w:rPr>
          <w:rFonts w:ascii="Georgia" w:cs="Georgia" w:eastAsia="Georgia" w:hAnsi="Georgia"/>
          <w:color w:val="222222"/>
          <w:sz w:val="21"/>
          <w:szCs w:val="21"/>
        </w:rPr>
        <w:t xml:space="preserve">The picture is consistent: a strong operational and product backbone paired with an under-developed demand engine and a pronounced artificial-intelligence gap.</w:t>
      </w:r>
    </w:p>
    <w:p>
      <w:pPr>
        <w:pStyle w:val="Heading3"/>
        <w:spacing w:after="70" w:before="160"/>
      </w:pPr>
      <w:r>
        <w:rPr>
          <w:rFonts w:ascii="Georgia" w:cs="Georgia" w:eastAsia="Georgia" w:hAnsi="Georgia"/>
          <w:b/>
          <w:bCs/>
          <w:color w:val="2E7D5B"/>
          <w:sz w:val="21"/>
          <w:szCs w:val="21"/>
        </w:rPr>
        <w:t xml:space="preserve">Primary business constraint</w:t>
      </w:r>
    </w:p>
    <w:p>
      <w:pPr>
        <w:pBdr>
          <w:left w:val="single" w:color="2E7D5B" w:sz="18" w:space="8"/>
        </w:pBdr>
        <w:shd w:fill="EEF2F6" w:color="auto" w:val="clear"/>
        <w:spacing w:after="140" w:before="80" w:line="276"/>
      </w:pPr>
      <w:r>
        <w:rPr>
          <w:rFonts w:ascii="Georgia" w:cs="Georgia" w:eastAsia="Georgia" w:hAnsi="Georgia"/>
          <w:i/>
          <w:iCs/>
          <w:color w:val="44546A"/>
          <w:sz w:val="20"/>
          <w:szCs w:val="20"/>
        </w:rPr>
        <w:t xml:space="preserve">  The binding constraint is demand capture, not product capability. Venuewise is under-found and under-converting — the growth system (AI Search Optimization, SEO, Conversion, Lead Generation) is weak, and AI readiness (20/100) is the lowest-rated area by a wide margin. Fixing how Venuewise is discovered, trusted and converted — not building more product — is where the transformation begins.</w:t>
      </w:r>
    </w:p>
    <w:p>
      <w:pPr>
        <w:pStyle w:val="Heading3"/>
        <w:spacing w:after="70" w:before="160"/>
      </w:pPr>
      <w:r>
        <w:rPr>
          <w:rFonts w:ascii="Georgia" w:cs="Georgia" w:eastAsia="Georgia" w:hAnsi="Georgia"/>
          <w:b/>
          <w:bCs/>
          <w:color w:val="2E7D5B"/>
          <w:sz w:val="21"/>
          <w:szCs w:val="21"/>
        </w:rPr>
        <w:t xml:space="preserve">Transformation opportunity</w:t>
      </w:r>
    </w:p>
    <w:p>
      <w:pPr>
        <w:pStyle w:val="ListParagraph"/>
        <w:numPr>
          <w:ilvl w:val="0"/>
          <w:numId w:val="2"/>
        </w:numPr>
        <w:spacing w:after="60" w:line="268"/>
      </w:pPr>
      <w:r>
        <w:rPr>
          <w:rFonts w:ascii="Georgia" w:cs="Georgia" w:eastAsia="Georgia" w:hAnsi="Georgia"/>
          <w:color w:val="222222"/>
          <w:sz w:val="21"/>
          <w:szCs w:val="21"/>
        </w:rPr>
        <w:t xml:space="preserve">A ready-made youth-sports platform on a mature, secure foundation — the groundwork is already in place.</w:t>
      </w:r>
    </w:p>
    <w:p>
      <w:pPr>
        <w:pStyle w:val="ListParagraph"/>
        <w:numPr>
          <w:ilvl w:val="0"/>
          <w:numId w:val="2"/>
        </w:numPr>
        <w:spacing w:after="60" w:line="268"/>
      </w:pPr>
      <w:r>
        <w:rPr>
          <w:rFonts w:ascii="Georgia" w:cs="Georgia" w:eastAsia="Georgia" w:hAnsi="Georgia"/>
          <w:color w:val="222222"/>
          <w:sz w:val="21"/>
          <w:szCs w:val="21"/>
        </w:rPr>
        <w:t xml:space="preserve">A large majority of Venuewise's capabilities can be delivered from Herman Legacy's reusable platform, so the transformation can move quickly.</w:t>
      </w:r>
    </w:p>
    <w:p>
      <w:pPr>
        <w:pStyle w:val="ListParagraph"/>
        <w:numPr>
          <w:ilvl w:val="0"/>
          <w:numId w:val="2"/>
        </w:numPr>
        <w:spacing w:after="60" w:line="268"/>
      </w:pPr>
      <w:r>
        <w:rPr>
          <w:rFonts w:ascii="Georgia" w:cs="Georgia" w:eastAsia="Georgia" w:hAnsi="Georgia"/>
          <w:color w:val="222222"/>
          <w:sz w:val="21"/>
          <w:szCs w:val="21"/>
        </w:rPr>
        <w:t xml:space="preserve">A new website (“Back to the Game” theme) and first-draft copy are already prepared and previewed for review, pending confirmation of commercial terms.</w:t>
      </w:r>
    </w:p>
    <w:p>
      <w:pPr>
        <w:pStyle w:val="ListParagraph"/>
        <w:numPr>
          <w:ilvl w:val="0"/>
          <w:numId w:val="2"/>
        </w:numPr>
        <w:spacing w:after="60" w:line="268"/>
      </w:pPr>
      <w:r>
        <w:rPr>
          <w:rFonts w:ascii="Georgia" w:cs="Georgia" w:eastAsia="Georgia" w:hAnsi="Georgia"/>
          <w:color w:val="222222"/>
          <w:sz w:val="21"/>
          <w:szCs w:val="21"/>
        </w:rPr>
        <w:t xml:space="preserve">Two proven growth levers to activate: close the AI gap (AI search, assistants, internal workflows) and repair the conversion and lead-generation funnel.</w:t>
      </w:r>
    </w:p>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2. Business Overview</w:t>
      </w:r>
    </w:p>
    <w:p>
      <w:pPr>
        <w:pBdr>
          <w:left w:val="single" w:color="2E7D5B" w:sz="18" w:space="8"/>
        </w:pBdr>
        <w:shd w:fill="EEF2F6" w:color="auto" w:val="clear"/>
        <w:spacing w:after="140" w:before="80" w:line="276"/>
      </w:pPr>
      <w:r>
        <w:rPr>
          <w:rFonts w:ascii="Georgia" w:cs="Georgia" w:eastAsia="Georgia" w:hAnsi="Georgia"/>
          <w:i/>
          <w:iCs/>
          <w:color w:val="44546A"/>
          <w:sz w:val="20"/>
          <w:szCs w:val="20"/>
        </w:rPr>
        <w:t xml:space="preserve">  A formally adopted mission and vision statement was not part of this engagement. The positioning below is drawn from the approved “Back to the Game” creative theme and the campaign objective, and is offered for confirmation rather than as an adopted corporate statement.</w:t>
      </w:r>
    </w:p>
    <w:p>
      <w:pPr>
        <w:pStyle w:val="Heading3"/>
        <w:spacing w:after="70" w:before="160"/>
      </w:pPr>
      <w:r>
        <w:rPr>
          <w:rFonts w:ascii="Georgia" w:cs="Georgia" w:eastAsia="Georgia" w:hAnsi="Georgia"/>
          <w:b/>
          <w:bCs/>
          <w:color w:val="2E7D5B"/>
          <w:sz w:val="21"/>
          <w:szCs w:val="21"/>
        </w:rPr>
        <w:t xml:space="preserve">Mission (for confirmation)</w:t>
      </w:r>
    </w:p>
    <w:p>
      <w:pPr>
        <w:spacing w:after="120" w:line="276"/>
      </w:pPr>
      <w:r>
        <w:rPr>
          <w:rFonts w:ascii="Georgia" w:cs="Georgia" w:eastAsia="Georgia" w:hAnsi="Georgia"/>
          <w:color w:val="222222"/>
          <w:sz w:val="21"/>
          <w:szCs w:val="21"/>
        </w:rPr>
        <w:t xml:space="preserve">Help Western New York sports families and organizations get “back to the game” by removing the scheduling, communication and coordination friction that surrounds youth sports.</w:t>
      </w:r>
    </w:p>
    <w:p>
      <w:pPr>
        <w:pStyle w:val="Heading3"/>
        <w:spacing w:after="70" w:before="160"/>
      </w:pPr>
      <w:r>
        <w:rPr>
          <w:rFonts w:ascii="Georgia" w:cs="Georgia" w:eastAsia="Georgia" w:hAnsi="Georgia"/>
          <w:b/>
          <w:bCs/>
          <w:color w:val="2E7D5B"/>
          <w:sz w:val="21"/>
          <w:szCs w:val="21"/>
        </w:rPr>
        <w:t xml:space="preserve">Vision (for confirmation)</w:t>
      </w:r>
    </w:p>
    <w:p>
      <w:pPr>
        <w:spacing w:after="120" w:line="276"/>
      </w:pPr>
      <w:r>
        <w:rPr>
          <w:rFonts w:ascii="Georgia" w:cs="Georgia" w:eastAsia="Georgia" w:hAnsi="Georgia"/>
          <w:color w:val="222222"/>
          <w:sz w:val="21"/>
          <w:szCs w:val="21"/>
        </w:rPr>
        <w:t xml:space="preserve">A single, trusted home for youth-sports coordination in the region — families, coaches, teams, facilities, organizations and leagues on one platform, working alongside the tools they already use.</w:t>
      </w:r>
    </w:p>
    <w:p>
      <w:pPr>
        <w:pStyle w:val="Heading3"/>
        <w:spacing w:after="70" w:before="160"/>
      </w:pPr>
      <w:r>
        <w:rPr>
          <w:rFonts w:ascii="Georgia" w:cs="Georgia" w:eastAsia="Georgia" w:hAnsi="Georgia"/>
          <w:b/>
          <w:bCs/>
          <w:color w:val="2E7D5B"/>
          <w:sz w:val="21"/>
          <w:szCs w:val="21"/>
        </w:rPr>
        <w:t xml:space="preserve">Current products &amp; capabilities</w:t>
      </w:r>
    </w:p>
    <w:p>
      <w:pPr>
        <w:spacing w:after="120" w:line="276"/>
      </w:pPr>
      <w:r>
        <w:rPr>
          <w:rFonts w:ascii="Georgia" w:cs="Georgia" w:eastAsia="Georgia" w:hAnsi="Georgia"/>
          <w:b/>
          <w:bCs/>
          <w:color w:val="222222"/>
          <w:sz w:val="21"/>
          <w:szCs w:val="21"/>
        </w:rPr>
        <w:t xml:space="preserve">Core business systems: </w:t>
      </w:r>
      <w:r>
        <w:rPr>
          <w:rFonts w:ascii="Georgia" w:cs="Georgia" w:eastAsia="Georgia" w:hAnsi="Georgia"/>
          <w:color w:val="222222"/>
          <w:sz w:val="21"/>
          <w:szCs w:val="21"/>
        </w:rPr>
        <w:t xml:space="preserve">secure sign-in, multi-organization workspaces and branding, scheduling and a unified calendar, text messaging and reminders, mobile notifications, online payments and subscriptions, a forms builder, a documents system, a guided workflow system, analytics, lead capture, and administration.</w:t>
      </w:r>
    </w:p>
    <w:p>
      <w:pPr>
        <w:spacing w:after="120" w:line="276"/>
      </w:pPr>
      <w:r>
        <w:rPr>
          <w:rFonts w:ascii="Georgia" w:cs="Georgia" w:eastAsia="Georgia" w:hAnsi="Georgia"/>
          <w:b/>
          <w:bCs/>
          <w:color w:val="222222"/>
          <w:sz w:val="21"/>
          <w:szCs w:val="21"/>
        </w:rPr>
        <w:t xml:space="preserve">Youth-sports offering: </w:t>
      </w:r>
      <w:r>
        <w:rPr>
          <w:rFonts w:ascii="Georgia" w:cs="Georgia" w:eastAsia="Georgia" w:hAnsi="Georgia"/>
          <w:color w:val="222222"/>
          <w:sz w:val="21"/>
          <w:szCs w:val="21"/>
        </w:rPr>
        <w:t xml:space="preserve">family management, athlete development (profiles, goals, stats, videos, public card), coach management, teams and rosters, facility management and booking, clinic registration and an academy program, an organization directory, a sports-media capability (spotlights, articles, podcasts, photos/video, game coverage), and public directories / a games board.</w:t>
      </w:r>
    </w:p>
    <w:p>
      <w:pPr>
        <w:pStyle w:val="Heading3"/>
        <w:spacing w:after="70" w:before="160"/>
      </w:pPr>
      <w:r>
        <w:rPr>
          <w:rFonts w:ascii="Georgia" w:cs="Georgia" w:eastAsia="Georgia" w:hAnsi="Georgia"/>
          <w:b/>
          <w:bCs/>
          <w:color w:val="2E7D5B"/>
          <w:sz w:val="21"/>
          <w:szCs w:val="21"/>
        </w:rPr>
        <w:t xml:space="preserve">Target market</w:t>
      </w:r>
    </w:p>
    <w:p>
      <w:pPr>
        <w:spacing w:after="120" w:line="276"/>
      </w:pPr>
      <w:r>
        <w:rPr>
          <w:rFonts w:ascii="Georgia" w:cs="Georgia" w:eastAsia="Georgia" w:hAnsi="Georgia"/>
          <w:color w:val="222222"/>
          <w:sz w:val="21"/>
          <w:szCs w:val="21"/>
        </w:rPr>
        <w:t xml:space="preserve">Western New York youth sports: families and athletes, coaches, teams, facilities, organizations and clubs, and leagues.</w:t>
      </w:r>
    </w:p>
    <w:p>
      <w:pPr>
        <w:pStyle w:val="Heading3"/>
        <w:spacing w:after="70" w:before="160"/>
      </w:pPr>
      <w:r>
        <w:rPr>
          <w:rFonts w:ascii="Georgia" w:cs="Georgia" w:eastAsia="Georgia" w:hAnsi="Georgia"/>
          <w:b/>
          <w:bCs/>
          <w:color w:val="2E7D5B"/>
          <w:sz w:val="21"/>
          <w:szCs w:val="21"/>
        </w:rPr>
        <w:t xml:space="preserve">Business model</w:t>
      </w:r>
    </w:p>
    <w:p>
      <w:pPr>
        <w:spacing w:after="120" w:line="276"/>
      </w:pPr>
      <w:r>
        <w:rPr>
          <w:rFonts w:ascii="Georgia" w:cs="Georgia" w:eastAsia="Georgia" w:hAnsi="Georgia"/>
          <w:color w:val="222222"/>
          <w:sz w:val="21"/>
          <w:szCs w:val="21"/>
        </w:rPr>
        <w:t xml:space="preserve">A live online payments and subscription model. A founding-family and founding-partner commercial model has been proposed as part of this engagement; its pricing, benefits, duration and partner terms remain To Be Confirmed (see Section 8 and the Appendix).</w:t>
      </w:r>
    </w:p>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3. Business Investigation</w:t>
      </w:r>
    </w:p>
    <w:p>
      <w:pPr>
        <w:pStyle w:val="Heading2"/>
        <w:spacing w:after="90" w:before="220"/>
      </w:pPr>
      <w:r>
        <w:rPr>
          <w:rFonts w:ascii="Georgia" w:cs="Georgia" w:eastAsia="Georgia" w:hAnsi="Georgia"/>
          <w:b/>
          <w:bCs/>
          <w:color w:val="44546A"/>
          <w:sz w:val="24"/>
          <w:szCs w:val="24"/>
        </w:rPr>
        <w:t xml:space="preserve">Internal investigation summary</w:t>
      </w:r>
    </w:p>
    <w:p>
      <w:pPr>
        <w:spacing w:after="120" w:line="276"/>
      </w:pPr>
      <w:r>
        <w:rPr>
          <w:rFonts w:ascii="Georgia" w:cs="Georgia" w:eastAsia="Georgia" w:hAnsi="Georgia"/>
          <w:color w:val="222222"/>
          <w:sz w:val="21"/>
          <w:szCs w:val="21"/>
        </w:rPr>
        <w:t xml:space="preserve">A structured internal review established the picture, with nothing changed on the live product. Venuewise proved to be a mature, fully operational platform providing a complete set of core business systems and a full youth-sports offering, secured throughout with disciplined, centrally controlled access.</w:t>
      </w:r>
    </w:p>
    <w:p>
      <w:pPr>
        <w:pStyle w:val="Heading2"/>
        <w:spacing w:after="90" w:before="220"/>
      </w:pPr>
      <w:r>
        <w:rPr>
          <w:rFonts w:ascii="Georgia" w:cs="Georgia" w:eastAsia="Georgia" w:hAnsi="Georgia"/>
          <w:b/>
          <w:bCs/>
          <w:color w:val="44546A"/>
          <w:sz w:val="24"/>
          <w:szCs w:val="24"/>
        </w:rPr>
        <w:t xml:space="preserve">External investigation summary</w:t>
      </w:r>
    </w:p>
    <w:p>
      <w:pPr>
        <w:pBdr>
          <w:left w:val="single" w:color="2E7D5B" w:sz="18" w:space="8"/>
        </w:pBdr>
        <w:shd w:fill="EEF2F6" w:color="auto" w:val="clear"/>
        <w:spacing w:after="140" w:before="80" w:line="276"/>
      </w:pPr>
      <w:r>
        <w:rPr>
          <w:rFonts w:ascii="Georgia" w:cs="Georgia" w:eastAsia="Georgia" w:hAnsi="Georgia"/>
          <w:i/>
          <w:iCs/>
          <w:color w:val="44546A"/>
          <w:sz w:val="20"/>
          <w:szCs w:val="20"/>
        </w:rPr>
        <w:t xml:space="preserve">  External digital baselines — website performance, search visibility, social reach, review scores, traffic, leads and conversions — are not yet measured. A live market and visibility scan is the recommended first step. These are recorded as open items rather than estimated.</w:t>
      </w:r>
    </w:p>
    <w:p>
      <w:pPr>
        <w:pStyle w:val="Heading2"/>
        <w:spacing w:after="90" w:before="220"/>
      </w:pPr>
      <w:r>
        <w:rPr>
          <w:rFonts w:ascii="Georgia" w:cs="Georgia" w:eastAsia="Georgia" w:hAnsi="Georgia"/>
          <w:b/>
          <w:bCs/>
          <w:color w:val="44546A"/>
          <w:sz w:val="24"/>
          <w:szCs w:val="24"/>
        </w:rPr>
        <w:t xml:space="preserve">Evidence collected</w:t>
      </w:r>
    </w:p>
    <w:p>
      <w:pPr>
        <w:pStyle w:val="ListParagraph"/>
        <w:numPr>
          <w:ilvl w:val="0"/>
          <w:numId w:val="2"/>
        </w:numPr>
        <w:spacing w:after="60" w:line="268"/>
      </w:pPr>
      <w:r>
        <w:rPr>
          <w:rFonts w:ascii="Georgia" w:cs="Georgia" w:eastAsia="Georgia" w:hAnsi="Georgia"/>
          <w:color w:val="222222"/>
          <w:sz w:val="21"/>
          <w:szCs w:val="21"/>
        </w:rPr>
        <w:t xml:space="preserve">A mature, actively maintained and secure software platform with a broad set of built business systems and self-running automation.</w:t>
      </w:r>
    </w:p>
    <w:p>
      <w:pPr>
        <w:pStyle w:val="ListParagraph"/>
        <w:numPr>
          <w:ilvl w:val="0"/>
          <w:numId w:val="2"/>
        </w:numPr>
        <w:spacing w:after="60" w:line="268"/>
      </w:pPr>
      <w:r>
        <w:rPr>
          <w:rFonts w:ascii="Georgia" w:cs="Georgia" w:eastAsia="Georgia" w:hAnsi="Georgia"/>
          <w:color w:val="222222"/>
          <w:sz w:val="21"/>
          <w:szCs w:val="21"/>
        </w:rPr>
        <w:t xml:space="preserve">Live operating signals: 284 automated text messages sent, 703 website page views, 118 scheduled events, 93 calendar entries, completed automated workflows, and active paid subscriptions.</w:t>
      </w:r>
    </w:p>
    <w:p>
      <w:pPr>
        <w:pStyle w:val="ListParagraph"/>
        <w:numPr>
          <w:ilvl w:val="0"/>
          <w:numId w:val="2"/>
        </w:numPr>
        <w:spacing w:after="60" w:line="268"/>
      </w:pPr>
      <w:r>
        <w:rPr>
          <w:rFonts w:ascii="Georgia" w:cs="Georgia" w:eastAsia="Georgia" w:hAnsi="Georgia"/>
          <w:color w:val="222222"/>
          <w:sz w:val="21"/>
          <w:szCs w:val="21"/>
        </w:rPr>
        <w:t xml:space="preserve">Where direct access was limited, capabilities were confirmed from the product itself and recorded conservatively rather than assumed.</w:t>
      </w:r>
    </w:p>
    <w:p>
      <w:pPr>
        <w:pStyle w:val="Heading2"/>
        <w:spacing w:after="90" w:before="220"/>
      </w:pPr>
      <w:r>
        <w:rPr>
          <w:rFonts w:ascii="Georgia" w:cs="Georgia" w:eastAsia="Georgia" w:hAnsi="Georgia"/>
          <w:b/>
          <w:bCs/>
          <w:color w:val="44546A"/>
          <w:sz w:val="24"/>
          <w:szCs w:val="24"/>
        </w:rPr>
        <w:t xml:space="preserve">Current state</w:t>
      </w:r>
    </w:p>
    <w:p>
      <w:pPr>
        <w:pStyle w:val="Heading3"/>
        <w:spacing w:after="70" w:before="160"/>
      </w:pPr>
      <w:r>
        <w:rPr>
          <w:rFonts w:ascii="Georgia" w:cs="Georgia" w:eastAsia="Georgia" w:hAnsi="Georgia"/>
          <w:b/>
          <w:bCs/>
          <w:color w:val="2E7D5B"/>
          <w:sz w:val="21"/>
          <w:szCs w:val="21"/>
        </w:rPr>
        <w:t xml:space="preserve">Digital presence</w:t>
      </w:r>
    </w:p>
    <w:p>
      <w:pPr>
        <w:spacing w:after="120" w:line="276"/>
      </w:pPr>
      <w:r>
        <w:rPr>
          <w:rFonts w:ascii="Georgia" w:cs="Georgia" w:eastAsia="Georgia" w:hAnsi="Georgia"/>
          <w:color w:val="222222"/>
          <w:sz w:val="21"/>
          <w:szCs w:val="21"/>
        </w:rPr>
        <w:t xml:space="preserve">Not yet measured externally. The assessment notes a strong social and brand presence, but weak search and conversion — the highest-leverage growth gaps — and a website review found thin page descriptions and no structured data for search engines.</w:t>
      </w:r>
    </w:p>
    <w:p>
      <w:pPr>
        <w:pStyle w:val="Heading3"/>
        <w:spacing w:after="70" w:before="160"/>
      </w:pPr>
      <w:r>
        <w:rPr>
          <w:rFonts w:ascii="Georgia" w:cs="Georgia" w:eastAsia="Georgia" w:hAnsi="Georgia"/>
          <w:b/>
          <w:bCs/>
          <w:color w:val="2E7D5B"/>
          <w:sz w:val="21"/>
          <w:szCs w:val="21"/>
        </w:rPr>
        <w:t xml:space="preserve">Technology</w:t>
      </w:r>
    </w:p>
    <w:p>
      <w:pPr>
        <w:spacing w:after="120" w:line="276"/>
      </w:pPr>
      <w:r>
        <w:rPr>
          <w:rFonts w:ascii="Georgia" w:cs="Georgia" w:eastAsia="Georgia" w:hAnsi="Georgia"/>
          <w:color w:val="222222"/>
          <w:sz w:val="21"/>
          <w:szCs w:val="21"/>
        </w:rPr>
        <w:t xml:space="preserve">A mature, actively maintained and secure platform with self-running automation. The assessment nonetheless rates Architecture and Security at 2/5 as improvement areas — a clear target architecture and a security review with ongoing monitoring are indicated.</w:t>
      </w:r>
    </w:p>
    <w:p>
      <w:pPr>
        <w:pStyle w:val="Heading3"/>
        <w:spacing w:after="70" w:before="160"/>
      </w:pPr>
      <w:r>
        <w:rPr>
          <w:rFonts w:ascii="Georgia" w:cs="Georgia" w:eastAsia="Georgia" w:hAnsi="Georgia"/>
          <w:b/>
          <w:bCs/>
          <w:color w:val="2E7D5B"/>
          <w:sz w:val="21"/>
          <w:szCs w:val="21"/>
        </w:rPr>
        <w:t xml:space="preserve">Marketing</w:t>
      </w:r>
    </w:p>
    <w:p>
      <w:pPr>
        <w:spacing w:after="120" w:line="276"/>
      </w:pPr>
      <w:r>
        <w:rPr>
          <w:rFonts w:ascii="Georgia" w:cs="Georgia" w:eastAsia="Georgia" w:hAnsi="Georgia"/>
          <w:color w:val="222222"/>
          <w:sz w:val="21"/>
          <w:szCs w:val="21"/>
        </w:rPr>
        <w:t xml:space="preserve">The engagement campaign defines the objective as growing families, coaches, facilities and organizations onto Venuewise, across TikTok, Instagram, YouTube and Facebook, with the call to action “start your team on Venuewise.”</w:t>
      </w:r>
    </w:p>
    <w:p>
      <w:pPr>
        <w:pStyle w:val="Heading3"/>
        <w:spacing w:after="70" w:before="160"/>
      </w:pPr>
      <w:r>
        <w:rPr>
          <w:rFonts w:ascii="Georgia" w:cs="Georgia" w:eastAsia="Georgia" w:hAnsi="Georgia"/>
          <w:b/>
          <w:bCs/>
          <w:color w:val="2E7D5B"/>
          <w:sz w:val="21"/>
          <w:szCs w:val="21"/>
        </w:rPr>
        <w:t xml:space="preserve">Operations</w:t>
      </w:r>
    </w:p>
    <w:p>
      <w:pPr>
        <w:spacing w:after="120" w:line="276"/>
      </w:pPr>
      <w:r>
        <w:rPr>
          <w:rFonts w:ascii="Georgia" w:cs="Georgia" w:eastAsia="Georgia" w:hAnsi="Georgia"/>
          <w:color w:val="222222"/>
          <w:sz w:val="21"/>
          <w:szCs w:val="21"/>
        </w:rPr>
        <w:t xml:space="preserve">Largely self-running: automated processes send text messages, refresh calendars, synchronize schedules, deliver nightly reminders, and update the status view on regular cycles.</w:t>
      </w:r>
    </w:p>
    <w:p>
      <w:pPr>
        <w:pStyle w:val="Heading3"/>
        <w:spacing w:after="70" w:before="160"/>
      </w:pPr>
      <w:r>
        <w:rPr>
          <w:rFonts w:ascii="Georgia" w:cs="Georgia" w:eastAsia="Georgia" w:hAnsi="Georgia"/>
          <w:b/>
          <w:bCs/>
          <w:color w:val="2E7D5B"/>
          <w:sz w:val="21"/>
          <w:szCs w:val="21"/>
        </w:rPr>
        <w:t xml:space="preserve">Visibility</w:t>
      </w:r>
    </w:p>
    <w:p>
      <w:pPr>
        <w:spacing w:after="120" w:line="276"/>
      </w:pPr>
      <w:r>
        <w:rPr>
          <w:rFonts w:ascii="Georgia" w:cs="Georgia" w:eastAsia="Georgia" w:hAnsi="Georgia"/>
          <w:color w:val="222222"/>
          <w:sz w:val="21"/>
          <w:szCs w:val="21"/>
        </w:rPr>
        <w:t xml:space="preserve">Not yet measured; a live visibility scan is the recommended first step to establish real baselines.</w:t>
      </w:r>
    </w:p>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4. Business Transformation Findings</w:t>
      </w:r>
    </w:p>
    <w:p>
      <w:pPr>
        <w:pBdr>
          <w:left w:val="single" w:color="2E7D5B" w:sz="18" w:space="8"/>
        </w:pBdr>
        <w:shd w:fill="EEF2F6" w:color="auto" w:val="clear"/>
        <w:spacing w:after="140" w:before="80" w:line="276"/>
      </w:pPr>
      <w:r>
        <w:rPr>
          <w:rFonts w:ascii="Georgia" w:cs="Georgia" w:eastAsia="Georgia" w:hAnsi="Georgia"/>
          <w:i/>
          <w:iCs/>
          <w:color w:val="44546A"/>
          <w:sz w:val="20"/>
          <w:szCs w:val="20"/>
        </w:rPr>
        <w:t xml:space="preserve">  Findings are the output of Herman Legacy's structured Business Transformation assessment: 4 domains assessed, 16 dimensions rated, and 11 findings — each traced to verified facts, clearly labeled inferences, and recommendations. Analysis only — no proposal or billing.</w:t>
      </w:r>
    </w:p>
    <w:p>
      <w:pPr>
        <w:pStyle w:val="Heading2"/>
        <w:spacing w:after="90" w:before="220"/>
      </w:pPr>
      <w:r>
        <w:rPr>
          <w:rFonts w:ascii="Georgia" w:cs="Georgia" w:eastAsia="Georgia" w:hAnsi="Georgia"/>
          <w:b/>
          <w:bCs/>
          <w:color w:val="44546A"/>
          <w:sz w:val="24"/>
          <w:szCs w:val="24"/>
        </w:rPr>
        <w:t xml:space="preserve">Strengths</w:t>
      </w:r>
    </w:p>
    <w:p>
      <w:pPr>
        <w:pStyle w:val="ListParagraph"/>
        <w:numPr>
          <w:ilvl w:val="0"/>
          <w:numId w:val="2"/>
        </w:numPr>
        <w:spacing w:after="60" w:line="268"/>
      </w:pPr>
      <w:r>
        <w:rPr>
          <w:rFonts w:ascii="Georgia" w:cs="Georgia" w:eastAsia="Georgia" w:hAnsi="Georgia"/>
          <w:color w:val="222222"/>
          <w:sz w:val="21"/>
          <w:szCs w:val="21"/>
        </w:rPr>
        <w:t xml:space="preserve">Business domain rated 72/100 — the strongest assessed area.</w:t>
      </w:r>
    </w:p>
    <w:p>
      <w:pPr>
        <w:pStyle w:val="ListParagraph"/>
        <w:numPr>
          <w:ilvl w:val="0"/>
          <w:numId w:val="2"/>
        </w:numPr>
        <w:spacing w:after="60" w:line="268"/>
      </w:pPr>
      <w:r>
        <w:rPr>
          <w:rFonts w:ascii="Georgia" w:cs="Georgia" w:eastAsia="Georgia" w:hAnsi="Georgia"/>
          <w:color w:val="222222"/>
          <w:sz w:val="21"/>
          <w:szCs w:val="21"/>
        </w:rPr>
        <w:t xml:space="preserve">A mature, secure operational backbone that genuinely runs.</w:t>
      </w:r>
    </w:p>
    <w:p>
      <w:pPr>
        <w:pStyle w:val="ListParagraph"/>
        <w:numPr>
          <w:ilvl w:val="0"/>
          <w:numId w:val="2"/>
        </w:numPr>
        <w:spacing w:after="60" w:line="268"/>
      </w:pPr>
      <w:r>
        <w:rPr>
          <w:rFonts w:ascii="Georgia" w:cs="Georgia" w:eastAsia="Georgia" w:hAnsi="Georgia"/>
          <w:color w:val="222222"/>
          <w:sz w:val="21"/>
          <w:szCs w:val="21"/>
        </w:rPr>
        <w:t xml:space="preserve">A working online subscription and payments flow already in production.</w:t>
      </w:r>
    </w:p>
    <w:p>
      <w:pPr>
        <w:pStyle w:val="ListParagraph"/>
        <w:numPr>
          <w:ilvl w:val="0"/>
          <w:numId w:val="2"/>
        </w:numPr>
        <w:spacing w:after="60" w:line="268"/>
      </w:pPr>
      <w:r>
        <w:rPr>
          <w:rFonts w:ascii="Georgia" w:cs="Georgia" w:eastAsia="Georgia" w:hAnsi="Georgia"/>
          <w:color w:val="222222"/>
          <w:sz w:val="21"/>
          <w:szCs w:val="21"/>
        </w:rPr>
        <w:t xml:space="preserve">A large share of Venuewise's capabilities — roughly 86% — can be delivered from Herman Legacy's existing, proven platform.</w:t>
      </w:r>
    </w:p>
    <w:p>
      <w:pPr>
        <w:pStyle w:val="Heading2"/>
        <w:spacing w:after="90" w:before="220"/>
      </w:pPr>
      <w:r>
        <w:rPr>
          <w:rFonts w:ascii="Georgia" w:cs="Georgia" w:eastAsia="Georgia" w:hAnsi="Georgia"/>
          <w:b/>
          <w:bCs/>
          <w:color w:val="44546A"/>
          <w:sz w:val="24"/>
          <w:szCs w:val="24"/>
        </w:rPr>
        <w:t xml:space="preserve">Constraints — the eleven findings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091"/>
        <w:gridCol w:w="797"/>
        <w:gridCol w:w="996"/>
        <w:gridCol w:w="2788"/>
        <w:gridCol w:w="2689"/>
      </w:tblGrid>
      <w:tr>
        <w:trPr>
          <w:tblHeader/>
        </w:trPr>
        <w:tc>
          <w:tcPr>
            <w:tcW w:type="dxa" w:w="2091"/>
            <w:shd w:fill="1F3A5F" w:color="auto" w:val="clear"/>
            <w:tcMar>
              <w:top w:type="dxa" w:w="40"/>
              <w:left w:type="dxa" w:w="90"/>
              <w:bottom w:type="dxa" w:w="40"/>
              <w:right w:type="dxa" w:w="90"/>
            </w:tcMar>
          </w:tcPr>
          <w:p>
            <w:pPr>
              <w:spacing w:after="0" w:line="252"/>
            </w:pPr>
            <w:r>
              <w:rPr>
                <w:rFonts w:ascii="Georgia" w:cs="Georgia" w:eastAsia="Georgia" w:hAnsi="Georgia"/>
                <w:b/>
                <w:bCs/>
                <w:color w:val="FFFFFF"/>
                <w:sz w:val="19"/>
                <w:szCs w:val="19"/>
              </w:rPr>
              <w:t xml:space="preserve">Finding</w:t>
            </w:r>
          </w:p>
        </w:tc>
        <w:tc>
          <w:tcPr>
            <w:tcW w:type="dxa" w:w="797"/>
            <w:shd w:fill="1F3A5F" w:color="auto" w:val="clear"/>
            <w:tcMar>
              <w:top w:type="dxa" w:w="40"/>
              <w:left w:type="dxa" w:w="90"/>
              <w:bottom w:type="dxa" w:w="40"/>
              <w:right w:type="dxa" w:w="90"/>
            </w:tcMar>
          </w:tcPr>
          <w:p>
            <w:pPr>
              <w:spacing w:after="0" w:line="252"/>
              <w:jc w:val="center"/>
            </w:pPr>
            <w:r>
              <w:rPr>
                <w:rFonts w:ascii="Georgia" w:cs="Georgia" w:eastAsia="Georgia" w:hAnsi="Georgia"/>
                <w:b/>
                <w:bCs/>
                <w:color w:val="FFFFFF"/>
                <w:sz w:val="19"/>
                <w:szCs w:val="19"/>
              </w:rPr>
              <w:t xml:space="preserve">Rating</w:t>
            </w:r>
          </w:p>
        </w:tc>
        <w:tc>
          <w:tcPr>
            <w:tcW w:type="dxa" w:w="996"/>
            <w:shd w:fill="1F3A5F" w:color="auto" w:val="clear"/>
            <w:tcMar>
              <w:top w:type="dxa" w:w="40"/>
              <w:left w:type="dxa" w:w="90"/>
              <w:bottom w:type="dxa" w:w="40"/>
              <w:right w:type="dxa" w:w="90"/>
            </w:tcMar>
          </w:tcPr>
          <w:p>
            <w:pPr>
              <w:spacing w:after="0" w:line="252"/>
              <w:jc w:val="center"/>
            </w:pPr>
            <w:r>
              <w:rPr>
                <w:rFonts w:ascii="Georgia" w:cs="Georgia" w:eastAsia="Georgia" w:hAnsi="Georgia"/>
                <w:b/>
                <w:bCs/>
                <w:color w:val="FFFFFF"/>
                <w:sz w:val="19"/>
                <w:szCs w:val="19"/>
              </w:rPr>
              <w:t xml:space="preserve">Priority</w:t>
            </w:r>
          </w:p>
        </w:tc>
        <w:tc>
          <w:tcPr>
            <w:tcW w:type="dxa" w:w="2788"/>
            <w:shd w:fill="1F3A5F" w:color="auto" w:val="clear"/>
            <w:tcMar>
              <w:top w:type="dxa" w:w="40"/>
              <w:left w:type="dxa" w:w="90"/>
              <w:bottom w:type="dxa" w:w="40"/>
              <w:right w:type="dxa" w:w="90"/>
            </w:tcMar>
          </w:tcPr>
          <w:p>
            <w:pPr>
              <w:spacing w:after="0" w:line="252"/>
              <w:jc w:val="center"/>
            </w:pPr>
            <w:r>
              <w:rPr>
                <w:rFonts w:ascii="Georgia" w:cs="Georgia" w:eastAsia="Georgia" w:hAnsi="Georgia"/>
                <w:b/>
                <w:bCs/>
                <w:color w:val="FFFFFF"/>
                <w:sz w:val="19"/>
                <w:szCs w:val="19"/>
              </w:rPr>
              <w:t xml:space="preserve">Root cause</w:t>
            </w:r>
          </w:p>
        </w:tc>
        <w:tc>
          <w:tcPr>
            <w:tcW w:type="dxa" w:w="2689"/>
            <w:shd w:fill="1F3A5F" w:color="auto" w:val="clear"/>
            <w:tcMar>
              <w:top w:type="dxa" w:w="40"/>
              <w:left w:type="dxa" w:w="90"/>
              <w:bottom w:type="dxa" w:w="40"/>
              <w:right w:type="dxa" w:w="90"/>
            </w:tcMar>
          </w:tcPr>
          <w:p>
            <w:pPr>
              <w:spacing w:after="0" w:line="252"/>
              <w:jc w:val="center"/>
            </w:pPr>
            <w:r>
              <w:rPr>
                <w:rFonts w:ascii="Georgia" w:cs="Georgia" w:eastAsia="Georgia" w:hAnsi="Georgia"/>
                <w:b/>
                <w:bCs/>
                <w:color w:val="FFFFFF"/>
                <w:sz w:val="19"/>
                <w:szCs w:val="19"/>
              </w:rPr>
              <w:t xml:space="preserve">Business impact</w:t>
            </w:r>
          </w:p>
        </w:tc>
      </w:tr>
      <w:tr>
        <w:tc>
          <w:tcPr>
            <w:tcW w:type="dxa" w:w="2091"/>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AI Search Optimization</w:t>
            </w:r>
          </w:p>
        </w:tc>
        <w:tc>
          <w:tcPr>
            <w:tcW w:type="dxa" w:w="797"/>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1/5</w:t>
            </w:r>
          </w:p>
        </w:tc>
        <w:tc>
          <w:tcPr>
            <w:tcW w:type="dxa" w:w="996"/>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Critical</w:t>
            </w:r>
          </w:p>
        </w:tc>
        <w:tc>
          <w:tcPr>
            <w:tcW w:type="dxa" w:w="278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Content not structured for AI answer engines</w:t>
            </w:r>
          </w:p>
        </w:tc>
        <w:tc>
          <w:tcPr>
            <w:tcW w:type="dxa" w:w="2689"/>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Limits new-customer acquisition and revenue</w:t>
            </w:r>
          </w:p>
        </w:tc>
      </w:tr>
      <w:tr>
        <w:tc>
          <w:tcPr>
            <w:tcW w:type="dxa" w:w="2091"/>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AI Assistants</w:t>
            </w:r>
          </w:p>
        </w:tc>
        <w:tc>
          <w:tcPr>
            <w:tcW w:type="dxa" w:w="797"/>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1/5</w:t>
            </w:r>
          </w:p>
        </w:tc>
        <w:tc>
          <w:tcPr>
            <w:tcW w:type="dxa" w:w="996"/>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Critical</w:t>
            </w:r>
          </w:p>
        </w:tc>
        <w:tc>
          <w:tcPr>
            <w:tcW w:type="dxa" w:w="278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No AI assistants supporting the team</w:t>
            </w:r>
          </w:p>
        </w:tc>
        <w:tc>
          <w:tcPr>
            <w:tcW w:type="dxa" w:w="2689"/>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Productivity &amp; service-quality gains uncaptured</w:t>
            </w:r>
          </w:p>
        </w:tc>
      </w:tr>
      <w:tr>
        <w:tc>
          <w:tcPr>
            <w:tcW w:type="dxa" w:w="2091"/>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Internal AI Workflows</w:t>
            </w:r>
          </w:p>
        </w:tc>
        <w:tc>
          <w:tcPr>
            <w:tcW w:type="dxa" w:w="797"/>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1/5</w:t>
            </w:r>
          </w:p>
        </w:tc>
        <w:tc>
          <w:tcPr>
            <w:tcW w:type="dxa" w:w="996"/>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Critical</w:t>
            </w:r>
          </w:p>
        </w:tc>
        <w:tc>
          <w:tcPr>
            <w:tcW w:type="dxa" w:w="278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No AI-assisted internal workflows</w:t>
            </w:r>
          </w:p>
        </w:tc>
        <w:tc>
          <w:tcPr>
            <w:tcW w:type="dxa" w:w="2689"/>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Productivity &amp; service-quality gains uncaptured</w:t>
            </w:r>
          </w:p>
        </w:tc>
      </w:tr>
      <w:tr>
        <w:tc>
          <w:tcPr>
            <w:tcW w:type="dxa" w:w="2091"/>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Conversion</w:t>
            </w:r>
          </w:p>
        </w:tc>
        <w:tc>
          <w:tcPr>
            <w:tcW w:type="dxa" w:w="797"/>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2/5</w:t>
            </w:r>
          </w:p>
        </w:tc>
        <w:tc>
          <w:tcPr>
            <w:tcW w:type="dxa" w:w="996"/>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High</w:t>
            </w:r>
          </w:p>
        </w:tc>
        <w:tc>
          <w:tcPr>
            <w:tcW w:type="dxa" w:w="278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Funnel leaks between visit and close</w:t>
            </w:r>
          </w:p>
        </w:tc>
        <w:tc>
          <w:tcPr>
            <w:tcW w:type="dxa" w:w="2689"/>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Limits new-customer acquisition and revenue</w:t>
            </w:r>
          </w:p>
        </w:tc>
      </w:tr>
      <w:tr>
        <w:tc>
          <w:tcPr>
            <w:tcW w:type="dxa" w:w="2091"/>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Lead Generation</w:t>
            </w:r>
          </w:p>
        </w:tc>
        <w:tc>
          <w:tcPr>
            <w:tcW w:type="dxa" w:w="797"/>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2/5</w:t>
            </w:r>
          </w:p>
        </w:tc>
        <w:tc>
          <w:tcPr>
            <w:tcW w:type="dxa" w:w="996"/>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High</w:t>
            </w:r>
          </w:p>
        </w:tc>
        <w:tc>
          <w:tcPr>
            <w:tcW w:type="dxa" w:w="278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No repeatable lead-generation system</w:t>
            </w:r>
          </w:p>
        </w:tc>
        <w:tc>
          <w:tcPr>
            <w:tcW w:type="dxa" w:w="2689"/>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Limits new-customer acquisition and revenue</w:t>
            </w:r>
          </w:p>
        </w:tc>
      </w:tr>
      <w:tr>
        <w:tc>
          <w:tcPr>
            <w:tcW w:type="dxa" w:w="2091"/>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SEO</w:t>
            </w:r>
          </w:p>
        </w:tc>
        <w:tc>
          <w:tcPr>
            <w:tcW w:type="dxa" w:w="797"/>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2/5</w:t>
            </w:r>
          </w:p>
        </w:tc>
        <w:tc>
          <w:tcPr>
            <w:tcW w:type="dxa" w:w="996"/>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High</w:t>
            </w:r>
          </w:p>
        </w:tc>
        <w:tc>
          <w:tcPr>
            <w:tcW w:type="dxa" w:w="278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Weak on-page and technical SEO foundations</w:t>
            </w:r>
          </w:p>
        </w:tc>
        <w:tc>
          <w:tcPr>
            <w:tcW w:type="dxa" w:w="2689"/>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Limits new-customer acquisition and revenue</w:t>
            </w:r>
          </w:p>
        </w:tc>
      </w:tr>
      <w:tr>
        <w:tc>
          <w:tcPr>
            <w:tcW w:type="dxa" w:w="2091"/>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Architecture</w:t>
            </w:r>
          </w:p>
        </w:tc>
        <w:tc>
          <w:tcPr>
            <w:tcW w:type="dxa" w:w="797"/>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2/5</w:t>
            </w:r>
          </w:p>
        </w:tc>
        <w:tc>
          <w:tcPr>
            <w:tcW w:type="dxa" w:w="996"/>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High</w:t>
            </w:r>
          </w:p>
        </w:tc>
        <w:tc>
          <w:tcPr>
            <w:tcW w:type="dxa" w:w="278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Point solutions without a coherent plan</w:t>
            </w:r>
          </w:p>
        </w:tc>
        <w:tc>
          <w:tcPr>
            <w:tcW w:type="dxa" w:w="2689"/>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Increases risk; slows every other initiative</w:t>
            </w:r>
          </w:p>
        </w:tc>
      </w:tr>
      <w:tr>
        <w:tc>
          <w:tcPr>
            <w:tcW w:type="dxa" w:w="2091"/>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Security</w:t>
            </w:r>
          </w:p>
        </w:tc>
        <w:tc>
          <w:tcPr>
            <w:tcW w:type="dxa" w:w="797"/>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2/5</w:t>
            </w:r>
          </w:p>
        </w:tc>
        <w:tc>
          <w:tcPr>
            <w:tcW w:type="dxa" w:w="996"/>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High</w:t>
            </w:r>
          </w:p>
        </w:tc>
        <w:tc>
          <w:tcPr>
            <w:tcW w:type="dxa" w:w="278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Gaps in access control and data protection</w:t>
            </w:r>
          </w:p>
        </w:tc>
        <w:tc>
          <w:tcPr>
            <w:tcW w:type="dxa" w:w="2689"/>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Increases risk; slows every other initiative</w:t>
            </w:r>
          </w:p>
        </w:tc>
      </w:tr>
      <w:tr>
        <w:tc>
          <w:tcPr>
            <w:tcW w:type="dxa" w:w="2091"/>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Growth Readiness</w:t>
            </w:r>
          </w:p>
        </w:tc>
        <w:tc>
          <w:tcPr>
            <w:tcW w:type="dxa" w:w="797"/>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3/5</w:t>
            </w:r>
          </w:p>
        </w:tc>
        <w:tc>
          <w:tcPr>
            <w:tcW w:type="dxa" w:w="996"/>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Medium</w:t>
            </w:r>
          </w:p>
        </w:tc>
        <w:tc>
          <w:tcPr>
            <w:tcW w:type="dxa" w:w="278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Growth outpacing systems and structure</w:t>
            </w:r>
          </w:p>
        </w:tc>
        <w:tc>
          <w:tcPr>
            <w:tcW w:type="dxa" w:w="2689"/>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Constrains ability to execute and scale</w:t>
            </w:r>
          </w:p>
        </w:tc>
      </w:tr>
      <w:tr>
        <w:tc>
          <w:tcPr>
            <w:tcW w:type="dxa" w:w="2091"/>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Processes</w:t>
            </w:r>
          </w:p>
        </w:tc>
        <w:tc>
          <w:tcPr>
            <w:tcW w:type="dxa" w:w="797"/>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3/5</w:t>
            </w:r>
          </w:p>
        </w:tc>
        <w:tc>
          <w:tcPr>
            <w:tcW w:type="dxa" w:w="996"/>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Medium</w:t>
            </w:r>
          </w:p>
        </w:tc>
        <w:tc>
          <w:tcPr>
            <w:tcW w:type="dxa" w:w="278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Ad-hoc, person-dependent processes</w:t>
            </w:r>
          </w:p>
        </w:tc>
        <w:tc>
          <w:tcPr>
            <w:tcW w:type="dxa" w:w="2689"/>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Constrains ability to execute and scale</w:t>
            </w:r>
          </w:p>
        </w:tc>
      </w:tr>
      <w:tr>
        <w:tc>
          <w:tcPr>
            <w:tcW w:type="dxa" w:w="2091"/>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Website</w:t>
            </w:r>
          </w:p>
        </w:tc>
        <w:tc>
          <w:tcPr>
            <w:tcW w:type="dxa" w:w="797"/>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3/5</w:t>
            </w:r>
          </w:p>
        </w:tc>
        <w:tc>
          <w:tcPr>
            <w:tcW w:type="dxa" w:w="996"/>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Medium</w:t>
            </w:r>
          </w:p>
        </w:tc>
        <w:tc>
          <w:tcPr>
            <w:tcW w:type="dxa" w:w="278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Website not built to convert or rank</w:t>
            </w:r>
          </w:p>
        </w:tc>
        <w:tc>
          <w:tcPr>
            <w:tcW w:type="dxa" w:w="2689"/>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Limits new-customer acquisition and revenue</w:t>
            </w:r>
          </w:p>
        </w:tc>
      </w:tr>
    </w:tbl>
    <w:p>
      <w:pPr>
        <w:spacing w:after="120"/>
      </w:pPr>
    </w:p>
    <w:p>
      <w:pPr>
        <w:pStyle w:val="Heading2"/>
        <w:spacing w:after="90" w:before="220"/>
      </w:pPr>
      <w:r>
        <w:rPr>
          <w:rFonts w:ascii="Georgia" w:cs="Georgia" w:eastAsia="Georgia" w:hAnsi="Georgia"/>
          <w:b/>
          <w:bCs/>
          <w:color w:val="44546A"/>
          <w:sz w:val="24"/>
          <w:szCs w:val="24"/>
        </w:rPr>
        <w:t xml:space="preserve">Root cause analysis</w:t>
      </w:r>
    </w:p>
    <w:p>
      <w:pPr>
        <w:spacing w:after="120" w:line="276"/>
      </w:pPr>
      <w:r>
        <w:rPr>
          <w:rFonts w:ascii="Georgia" w:cs="Georgia" w:eastAsia="Georgia" w:hAnsi="Georgia"/>
          <w:color w:val="222222"/>
          <w:sz w:val="21"/>
          <w:szCs w:val="21"/>
        </w:rPr>
        <w:t xml:space="preserve">Read together, the root causes cluster into two themes. The critical cluster is an absent AI layer — no content structured for AI answer engines, no AI assistants for the team, and no AI-assisted internal workflows. The high-priority cluster is a leaking demand engine — weak search foundations, a funnel that loses visitors between visit and close, and no repeatable lead-generation system — on top of technology foundations that need deliberate strengthening.</w:t>
      </w:r>
    </w:p>
    <w:p>
      <w:pPr>
        <w:pStyle w:val="Heading2"/>
        <w:spacing w:after="90" w:before="220"/>
      </w:pPr>
      <w:r>
        <w:rPr>
          <w:rFonts w:ascii="Georgia" w:cs="Georgia" w:eastAsia="Georgia" w:hAnsi="Georgia"/>
          <w:b/>
          <w:bCs/>
          <w:color w:val="44546A"/>
          <w:sz w:val="24"/>
          <w:szCs w:val="24"/>
        </w:rPr>
        <w:t xml:space="preserve">Growth opportunities</w:t>
      </w:r>
    </w:p>
    <w:p>
      <w:pPr>
        <w:pStyle w:val="ListParagraph"/>
        <w:numPr>
          <w:ilvl w:val="0"/>
          <w:numId w:val="2"/>
        </w:numPr>
        <w:spacing w:after="60" w:line="268"/>
      </w:pPr>
      <w:r>
        <w:rPr>
          <w:rFonts w:ascii="Georgia" w:cs="Georgia" w:eastAsia="Georgia" w:hAnsi="Georgia"/>
          <w:color w:val="222222"/>
          <w:sz w:val="21"/>
          <w:szCs w:val="21"/>
        </w:rPr>
        <w:t xml:space="preserve">Optimize for AI search with structured, answer-ready content.</w:t>
      </w:r>
    </w:p>
    <w:p>
      <w:pPr>
        <w:pStyle w:val="ListParagraph"/>
        <w:numPr>
          <w:ilvl w:val="0"/>
          <w:numId w:val="2"/>
        </w:numPr>
        <w:spacing w:after="60" w:line="268"/>
      </w:pPr>
      <w:r>
        <w:rPr>
          <w:rFonts w:ascii="Georgia" w:cs="Georgia" w:eastAsia="Georgia" w:hAnsi="Georgia"/>
          <w:color w:val="222222"/>
          <w:sz w:val="21"/>
          <w:szCs w:val="21"/>
        </w:rPr>
        <w:t xml:space="preserve">Optimize the funnel and follow-up motion (speed-to-lead and conversion).</w:t>
      </w:r>
    </w:p>
    <w:p>
      <w:pPr>
        <w:pStyle w:val="ListParagraph"/>
        <w:numPr>
          <w:ilvl w:val="0"/>
          <w:numId w:val="2"/>
        </w:numPr>
        <w:spacing w:after="60" w:line="268"/>
      </w:pPr>
      <w:r>
        <w:rPr>
          <w:rFonts w:ascii="Georgia" w:cs="Georgia" w:eastAsia="Georgia" w:hAnsi="Georgia"/>
          <w:color w:val="222222"/>
          <w:sz w:val="21"/>
          <w:szCs w:val="21"/>
        </w:rPr>
        <w:t xml:space="preserve">Build a measurable lead-generation system.</w:t>
      </w:r>
    </w:p>
    <w:p>
      <w:pPr>
        <w:pStyle w:val="ListParagraph"/>
        <w:numPr>
          <w:ilvl w:val="0"/>
          <w:numId w:val="2"/>
        </w:numPr>
        <w:spacing w:after="60" w:line="268"/>
      </w:pPr>
      <w:r>
        <w:rPr>
          <w:rFonts w:ascii="Georgia" w:cs="Georgia" w:eastAsia="Georgia" w:hAnsi="Georgia"/>
          <w:color w:val="222222"/>
          <w:sz w:val="21"/>
          <w:szCs w:val="21"/>
        </w:rPr>
        <w:t xml:space="preserve">Run a search-engine foundation and content program.</w:t>
      </w:r>
    </w:p>
    <w:p>
      <w:pPr>
        <w:pStyle w:val="Heading2"/>
        <w:spacing w:after="90" w:before="220"/>
      </w:pPr>
      <w:r>
        <w:rPr>
          <w:rFonts w:ascii="Georgia" w:cs="Georgia" w:eastAsia="Georgia" w:hAnsi="Georgia"/>
          <w:b/>
          <w:bCs/>
          <w:color w:val="44546A"/>
          <w:sz w:val="24"/>
          <w:szCs w:val="24"/>
        </w:rPr>
        <w:t xml:space="preserve">Business risks</w:t>
      </w:r>
    </w:p>
    <w:p>
      <w:pPr>
        <w:spacing w:after="120" w:line="276"/>
      </w:pPr>
      <w:r>
        <w:rPr>
          <w:rFonts w:ascii="Georgia" w:cs="Georgia" w:eastAsia="Georgia" w:hAnsi="Georgia"/>
          <w:color w:val="222222"/>
          <w:sz w:val="21"/>
          <w:szCs w:val="21"/>
        </w:rPr>
        <w:t xml:space="preserve">The three AI findings and the search, conversion and lead-generation findings are each near-term threats that materially hold back results within the quarter if unaddressed. Architecture and security are constraints on the pace and safety of every other initiative.</w:t>
      </w:r>
    </w:p>
    <w:p>
      <w:pPr>
        <w:pStyle w:val="Heading2"/>
        <w:spacing w:after="90" w:before="220"/>
      </w:pPr>
      <w:r>
        <w:rPr>
          <w:rFonts w:ascii="Georgia" w:cs="Georgia" w:eastAsia="Georgia" w:hAnsi="Georgia"/>
          <w:b/>
          <w:bCs/>
          <w:color w:val="44546A"/>
          <w:sz w:val="24"/>
          <w:szCs w:val="24"/>
        </w:rPr>
        <w:t xml:space="preserve">Current maturity</w:t>
      </w:r>
    </w:p>
    <w:p>
      <w:pPr>
        <w:pStyle w:val="ListParagraph"/>
        <w:numPr>
          <w:ilvl w:val="0"/>
          <w:numId w:val="2"/>
        </w:numPr>
        <w:spacing w:after="60" w:line="268"/>
      </w:pPr>
      <w:r>
        <w:rPr>
          <w:rFonts w:ascii="Georgia" w:cs="Georgia" w:eastAsia="Georgia" w:hAnsi="Georgia"/>
          <w:color w:val="222222"/>
          <w:sz w:val="21"/>
          <w:szCs w:val="21"/>
        </w:rPr>
        <w:t xml:space="preserve">Eight capabilities are in full production with live data and automation: sign-in, calendar, text messaging, family management, payments, analytics, workflow, and administration.</w:t>
      </w:r>
    </w:p>
    <w:p>
      <w:pPr>
        <w:pStyle w:val="ListParagraph"/>
        <w:numPr>
          <w:ilvl w:val="0"/>
          <w:numId w:val="2"/>
        </w:numPr>
        <w:spacing w:after="60" w:line="268"/>
      </w:pPr>
      <w:r>
        <w:rPr>
          <w:rFonts w:ascii="Georgia" w:cs="Georgia" w:eastAsia="Georgia" w:hAnsi="Georgia"/>
          <w:color w:val="222222"/>
          <w:sz w:val="21"/>
          <w:szCs w:val="21"/>
        </w:rPr>
        <w:t xml:space="preserve">About eleven capabilities are fully built and ready, awaiting usage and data: workspaces, forms, documents, athletes, coaches, teams, facilities, clinics and academy, organizations, lead capture, and notifications.</w:t>
      </w:r>
    </w:p>
    <w:p>
      <w:pPr>
        <w:pStyle w:val="ListParagraph"/>
        <w:numPr>
          <w:ilvl w:val="0"/>
          <w:numId w:val="2"/>
        </w:numPr>
        <w:spacing w:after="60" w:line="268"/>
      </w:pPr>
      <w:r>
        <w:rPr>
          <w:rFonts w:ascii="Georgia" w:cs="Georgia" w:eastAsia="Georgia" w:hAnsi="Georgia"/>
          <w:color w:val="222222"/>
          <w:sz w:val="21"/>
          <w:szCs w:val="21"/>
        </w:rPr>
        <w:t xml:space="preserve">One capability is partially used (sports media); a few remain to be explored, and one legacy item is retired.</w:t>
      </w:r>
    </w:p>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5. Marketing Transformation Strategy</w:t>
      </w:r>
    </w:p>
    <w:p>
      <w:pPr>
        <w:pBdr>
          <w:left w:val="single" w:color="2E7D5B" w:sz="18" w:space="8"/>
        </w:pBdr>
        <w:shd w:fill="EEF2F6" w:color="auto" w:val="clear"/>
        <w:spacing w:after="140" w:before="80" w:line="276"/>
      </w:pPr>
      <w:r>
        <w:rPr>
          <w:rFonts w:ascii="Georgia" w:cs="Georgia" w:eastAsia="Georgia" w:hAnsi="Georgia"/>
          <w:i/>
          <w:iCs/>
          <w:color w:val="44546A"/>
          <w:sz w:val="20"/>
          <w:szCs w:val="20"/>
        </w:rPr>
        <w:t xml:space="preserve">  The full Marketing Strategy, Launch Campaign, Founding Partner Program and Creative Framework are complete. This report presents their essence; commercial terms still to be confirmed are marked accordingly, and no unconfirmed figure is filled in.</w:t>
      </w:r>
    </w:p>
    <w:p>
      <w:pPr>
        <w:pStyle w:val="Heading3"/>
        <w:spacing w:after="70" w:before="160"/>
      </w:pPr>
      <w:r>
        <w:rPr>
          <w:rFonts w:ascii="Georgia" w:cs="Georgia" w:eastAsia="Georgia" w:hAnsi="Georgia"/>
          <w:b/>
          <w:bCs/>
          <w:color w:val="2E7D5B"/>
          <w:sz w:val="21"/>
          <w:szCs w:val="21"/>
        </w:rPr>
        <w:t xml:space="preserve">Brand positioning</w:t>
      </w:r>
    </w:p>
    <w:p>
      <w:pPr>
        <w:spacing w:after="120" w:line="276"/>
      </w:pPr>
      <w:r>
        <w:rPr>
          <w:rFonts w:ascii="Georgia" w:cs="Georgia" w:eastAsia="Georgia" w:hAnsi="Georgia"/>
          <w:color w:val="222222"/>
          <w:sz w:val="21"/>
          <w:szCs w:val="21"/>
        </w:rPr>
        <w:t xml:space="preserve">The approved creative direction is the “Back to the Game” framework: a warm, Western-New-York sports identity built on the principle that people buy a better life, not features. The website copy was elevated for emotional impact without adding length.</w:t>
      </w:r>
    </w:p>
    <w:p>
      <w:pPr>
        <w:pStyle w:val="Heading3"/>
        <w:spacing w:after="70" w:before="160"/>
      </w:pPr>
      <w:r>
        <w:rPr>
          <w:rFonts w:ascii="Georgia" w:cs="Georgia" w:eastAsia="Georgia" w:hAnsi="Georgia"/>
          <w:b/>
          <w:bCs/>
          <w:color w:val="2E7D5B"/>
          <w:sz w:val="21"/>
          <w:szCs w:val="21"/>
        </w:rPr>
        <w:t xml:space="preserve">Messaging</w:t>
      </w:r>
    </w:p>
    <w:p>
      <w:pPr>
        <w:spacing w:after="120" w:line="276"/>
      </w:pPr>
      <w:r>
        <w:rPr>
          <w:rFonts w:ascii="Georgia" w:cs="Georgia" w:eastAsia="Georgia" w:hAnsi="Georgia"/>
          <w:color w:val="222222"/>
          <w:sz w:val="21"/>
          <w:szCs w:val="21"/>
        </w:rPr>
        <w:t xml:space="preserve">Two audience paths lead the message — Families and Partners. The homepage leads with a dominant “Become a Founding Family — Start Free” call to action and a secondary “Explore Founding Partnerships,” supported by a family differentiator line and an honest founding-stage trust section. Integrations are stated only as “works alongside the apps you already use,” with specific sources confirmed later.</w:t>
      </w:r>
    </w:p>
    <w:p>
      <w:pPr>
        <w:pStyle w:val="Heading3"/>
        <w:spacing w:after="70" w:before="160"/>
      </w:pPr>
      <w:r>
        <w:rPr>
          <w:rFonts w:ascii="Georgia" w:cs="Georgia" w:eastAsia="Georgia" w:hAnsi="Georgia"/>
          <w:b/>
          <w:bCs/>
          <w:color w:val="2E7D5B"/>
          <w:sz w:val="21"/>
          <w:szCs w:val="21"/>
        </w:rPr>
        <w:t xml:space="preserve">Audience strategy</w:t>
      </w:r>
    </w:p>
    <w:p>
      <w:pPr>
        <w:spacing w:after="120" w:line="276"/>
      </w:pPr>
      <w:r>
        <w:rPr>
          <w:rFonts w:ascii="Georgia" w:cs="Georgia" w:eastAsia="Georgia" w:hAnsi="Georgia"/>
          <w:color w:val="222222"/>
          <w:sz w:val="21"/>
          <w:szCs w:val="21"/>
        </w:rPr>
        <w:t xml:space="preserve">Families are the primary acquisition path; Partners (Organizations, Coaches, Leagues and Facilities) are reached through a dedicated Founding Partner hub.</w:t>
      </w:r>
    </w:p>
    <w:p>
      <w:pPr>
        <w:pStyle w:val="Heading3"/>
        <w:spacing w:after="70" w:before="160"/>
      </w:pPr>
      <w:r>
        <w:rPr>
          <w:rFonts w:ascii="Georgia" w:cs="Georgia" w:eastAsia="Georgia" w:hAnsi="Georgia"/>
          <w:b/>
          <w:bCs/>
          <w:color w:val="2E7D5B"/>
          <w:sz w:val="21"/>
          <w:szCs w:val="21"/>
        </w:rPr>
        <w:t xml:space="preserve">Founding Family strategy</w:t>
      </w:r>
    </w:p>
    <w:p>
      <w:pPr>
        <w:spacing w:after="120" w:line="276"/>
      </w:pPr>
      <w:r>
        <w:rPr>
          <w:rFonts w:ascii="Georgia" w:cs="Georgia" w:eastAsia="Georgia" w:hAnsi="Georgia"/>
          <w:color w:val="222222"/>
          <w:sz w:val="21"/>
          <w:szCs w:val="21"/>
        </w:rPr>
        <w:t xml:space="preserve">Acquisition-first, led by a free start. Founding-family </w:t>
      </w:r>
      <w:r>
        <w:rPr>
          <w:rFonts w:ascii="Georgia" w:cs="Georgia" w:eastAsia="Georgia" w:hAnsi="Georgia"/>
          <w:b/>
          <w:bCs/>
          <w:color w:val="222222"/>
          <w:sz w:val="21"/>
          <w:szCs w:val="21"/>
        </w:rPr>
        <w:t xml:space="preserve">benefits and duration are To Be Confirmed</w:t>
      </w:r>
      <w:r>
        <w:rPr>
          <w:rFonts w:ascii="Georgia" w:cs="Georgia" w:eastAsia="Georgia" w:hAnsi="Georgia"/>
          <w:color w:val="222222"/>
          <w:sz w:val="21"/>
          <w:szCs w:val="21"/>
        </w:rPr>
        <w:t xml:space="preserve">.</w:t>
      </w:r>
    </w:p>
    <w:p>
      <w:pPr>
        <w:pStyle w:val="Heading3"/>
        <w:spacing w:after="70" w:before="160"/>
      </w:pPr>
      <w:r>
        <w:rPr>
          <w:rFonts w:ascii="Georgia" w:cs="Georgia" w:eastAsia="Georgia" w:hAnsi="Georgia"/>
          <w:b/>
          <w:bCs/>
          <w:color w:val="2E7D5B"/>
          <w:sz w:val="21"/>
          <w:szCs w:val="21"/>
        </w:rPr>
        <w:t xml:space="preserve">Founding Partner strategy</w:t>
      </w:r>
    </w:p>
    <w:p>
      <w:pPr>
        <w:spacing w:after="120" w:line="276"/>
      </w:pPr>
      <w:r>
        <w:rPr>
          <w:rFonts w:ascii="Georgia" w:cs="Georgia" w:eastAsia="Georgia" w:hAnsi="Georgia"/>
          <w:color w:val="222222"/>
          <w:sz w:val="21"/>
          <w:szCs w:val="21"/>
        </w:rPr>
        <w:t xml:space="preserve">A partnership hub spanning League, Organization, Facility and Coach. Partner </w:t>
      </w:r>
      <w:r>
        <w:rPr>
          <w:rFonts w:ascii="Georgia" w:cs="Georgia" w:eastAsia="Georgia" w:hAnsi="Georgia"/>
          <w:b/>
          <w:bCs/>
          <w:color w:val="222222"/>
          <w:sz w:val="21"/>
          <w:szCs w:val="21"/>
        </w:rPr>
        <w:t xml:space="preserve">pricing, exclusivity and advisory terms are To Be Confirmed</w:t>
      </w:r>
      <w:r>
        <w:rPr>
          <w:rFonts w:ascii="Georgia" w:cs="Georgia" w:eastAsia="Georgia" w:hAnsi="Georgia"/>
          <w:color w:val="222222"/>
          <w:sz w:val="21"/>
          <w:szCs w:val="21"/>
        </w:rPr>
        <w:t xml:space="preserve">.</w:t>
      </w:r>
    </w:p>
    <w:p>
      <w:pPr>
        <w:pStyle w:val="Heading3"/>
        <w:spacing w:after="70" w:before="160"/>
      </w:pPr>
      <w:r>
        <w:rPr>
          <w:rFonts w:ascii="Georgia" w:cs="Georgia" w:eastAsia="Georgia" w:hAnsi="Georgia"/>
          <w:b/>
          <w:bCs/>
          <w:color w:val="2E7D5B"/>
          <w:sz w:val="21"/>
          <w:szCs w:val="21"/>
        </w:rPr>
        <w:t xml:space="preserve">Community strategy</w:t>
      </w:r>
    </w:p>
    <w:p>
      <w:pPr>
        <w:spacing w:after="120" w:line="276"/>
      </w:pPr>
      <w:r>
        <w:rPr>
          <w:rFonts w:ascii="Georgia" w:cs="Georgia" w:eastAsia="Georgia" w:hAnsi="Georgia"/>
          <w:color w:val="222222"/>
          <w:sz w:val="21"/>
          <w:szCs w:val="21"/>
        </w:rPr>
        <w:t xml:space="preserve">A Western-New-York youth-sports community focus — families, coaches, facilities and organizations — activated across TikTok, Instagram, YouTube and Facebook with the call to action “start your team on Venuewise.”</w:t>
      </w:r>
    </w:p>
    <w:p>
      <w:pPr>
        <w:pStyle w:val="Heading3"/>
        <w:spacing w:after="70" w:before="160"/>
      </w:pPr>
      <w:r>
        <w:rPr>
          <w:rFonts w:ascii="Georgia" w:cs="Georgia" w:eastAsia="Georgia" w:hAnsi="Georgia"/>
          <w:b/>
          <w:bCs/>
          <w:color w:val="2E7D5B"/>
          <w:sz w:val="21"/>
          <w:szCs w:val="21"/>
        </w:rPr>
        <w:t xml:space="preserve">League &amp; community partnerships</w:t>
      </w:r>
    </w:p>
    <w:p>
      <w:pPr>
        <w:spacing w:after="120" w:line="276"/>
      </w:pPr>
      <w:r>
        <w:rPr>
          <w:rFonts w:ascii="Georgia" w:cs="Georgia" w:eastAsia="Georgia" w:hAnsi="Georgia"/>
          <w:color w:val="222222"/>
          <w:sz w:val="21"/>
          <w:szCs w:val="21"/>
        </w:rPr>
        <w:t xml:space="preserve">Regional league partnerships — including a potential founding partnership with the Western New York youth hockey community — are a natural extension of the Founding Partner program. Specific terms would be scoped alongside the Founding Partner offer.</w:t>
      </w:r>
    </w:p>
    <w:p>
      <w:pPr>
        <w:pStyle w:val="Heading3"/>
        <w:spacing w:after="70" w:before="160"/>
      </w:pPr>
      <w:r>
        <w:rPr>
          <w:rFonts w:ascii="Georgia" w:cs="Georgia" w:eastAsia="Georgia" w:hAnsi="Georgia"/>
          <w:b/>
          <w:bCs/>
          <w:color w:val="2E7D5B"/>
          <w:sz w:val="21"/>
          <w:szCs w:val="21"/>
        </w:rPr>
        <w:t xml:space="preserve">Sports-media opportunity</w:t>
      </w:r>
    </w:p>
    <w:p>
      <w:pPr>
        <w:spacing w:after="120" w:line="276"/>
      </w:pPr>
      <w:r>
        <w:rPr>
          <w:rFonts w:ascii="Georgia" w:cs="Georgia" w:eastAsia="Georgia" w:hAnsi="Georgia"/>
          <w:color w:val="222222"/>
          <w:sz w:val="21"/>
          <w:szCs w:val="21"/>
        </w:rPr>
        <w:t xml:space="preserve">Venuewise includes a built-in sports-media capability — spotlights, articles, podcasts, photos and video, game coverage and scores, legends and sponsors. It is in place but lightly used today; activating it with content and community is a clear near-term opportunity that deepens engagement and strengthens the brand.</w:t>
      </w:r>
    </w:p>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6. Website Transformation</w:t>
      </w:r>
    </w:p>
    <w:p>
      <w:pPr>
        <w:pStyle w:val="Heading3"/>
        <w:spacing w:after="70" w:before="160"/>
      </w:pPr>
      <w:r>
        <w:rPr>
          <w:rFonts w:ascii="Georgia" w:cs="Georgia" w:eastAsia="Georgia" w:hAnsi="Georgia"/>
          <w:b/>
          <w:bCs/>
          <w:color w:val="2E7D5B"/>
          <w:sz w:val="21"/>
          <w:szCs w:val="21"/>
        </w:rPr>
        <w:t xml:space="preserve">Current website observations</w:t>
      </w:r>
    </w:p>
    <w:p>
      <w:pPr>
        <w:spacing w:after="120" w:line="276"/>
      </w:pPr>
      <w:r>
        <w:rPr>
          <w:rFonts w:ascii="Georgia" w:cs="Georgia" w:eastAsia="Georgia" w:hAnsi="Georgia"/>
          <w:color w:val="222222"/>
          <w:sz w:val="21"/>
          <w:szCs w:val="21"/>
        </w:rPr>
        <w:t xml:space="preserve">The assessment rates the current website at 3/5 (“not built to convert or rank”) and search at 2/5, with a review noting thin page descriptions and no structured data. Broader external baselines will be established by the recommended scan.</w:t>
      </w:r>
    </w:p>
    <w:p>
      <w:pPr>
        <w:pStyle w:val="Heading3"/>
        <w:spacing w:after="70" w:before="160"/>
      </w:pPr>
      <w:r>
        <w:rPr>
          <w:rFonts w:ascii="Georgia" w:cs="Georgia" w:eastAsia="Georgia" w:hAnsi="Georgia"/>
          <w:b/>
          <w:bCs/>
          <w:color w:val="2E7D5B"/>
          <w:sz w:val="21"/>
          <w:szCs w:val="21"/>
        </w:rPr>
        <w:t xml:space="preserve">Transformation goals</w:t>
      </w:r>
    </w:p>
    <w:p>
      <w:pPr>
        <w:spacing w:after="120" w:line="276"/>
      </w:pPr>
      <w:r>
        <w:rPr>
          <w:rFonts w:ascii="Georgia" w:cs="Georgia" w:eastAsia="Georgia" w:hAnsi="Georgia"/>
          <w:color w:val="222222"/>
          <w:sz w:val="21"/>
          <w:szCs w:val="21"/>
        </w:rPr>
        <w:t xml:space="preserve">Modernize for speed, clarity and conversion; structure content for AI answer engines and search; and present clear, audience-specific paths from the first screen.</w:t>
      </w:r>
    </w:p>
    <w:p>
      <w:pPr>
        <w:pStyle w:val="Heading3"/>
        <w:spacing w:after="70" w:before="160"/>
      </w:pPr>
      <w:r>
        <w:rPr>
          <w:rFonts w:ascii="Georgia" w:cs="Georgia" w:eastAsia="Georgia" w:hAnsi="Georgia"/>
          <w:b/>
          <w:bCs/>
          <w:color w:val="2E7D5B"/>
          <w:sz w:val="21"/>
          <w:szCs w:val="21"/>
        </w:rPr>
        <w:t xml:space="preserve">Website strategy</w:t>
      </w:r>
    </w:p>
    <w:p>
      <w:pPr>
        <w:spacing w:after="120" w:line="276"/>
      </w:pPr>
      <w:r>
        <w:rPr>
          <w:rFonts w:ascii="Georgia" w:cs="Georgia" w:eastAsia="Georgia" w:hAnsi="Georgia"/>
          <w:color w:val="222222"/>
          <w:sz w:val="21"/>
          <w:szCs w:val="21"/>
        </w:rPr>
        <w:t xml:space="preserve">Lead with two audience paths, put founding-family acquisition front and center, and route partners through a dedicated hub — so each visitor sees the most relevant next step immediately.</w:t>
      </w:r>
    </w:p>
    <w:p>
      <w:pPr>
        <w:pStyle w:val="Heading3"/>
        <w:spacing w:after="70" w:before="160"/>
      </w:pPr>
      <w:r>
        <w:rPr>
          <w:rFonts w:ascii="Georgia" w:cs="Georgia" w:eastAsia="Georgia" w:hAnsi="Georgia"/>
          <w:b/>
          <w:bCs/>
          <w:color w:val="2E7D5B"/>
          <w:sz w:val="21"/>
          <w:szCs w:val="21"/>
        </w:rPr>
        <w:t xml:space="preserve">Homepage strategy</w:t>
      </w:r>
    </w:p>
    <w:p>
      <w:pPr>
        <w:spacing w:after="120" w:line="276"/>
      </w:pPr>
      <w:r>
        <w:rPr>
          <w:rFonts w:ascii="Georgia" w:cs="Georgia" w:eastAsia="Georgia" w:hAnsi="Georgia"/>
          <w:color w:val="222222"/>
          <w:sz w:val="21"/>
          <w:szCs w:val="21"/>
        </w:rPr>
        <w:t xml:space="preserve">A dominant Founding Family call to action (“Start Free”), a secondary partnerships call to action, a family differentiator line, and an honest founding-stage trust section — with every commercial term held as “To Be Confirmed.”</w:t>
      </w:r>
    </w:p>
    <w:p>
      <w:pPr>
        <w:pStyle w:val="Heading3"/>
        <w:spacing w:after="70" w:before="160"/>
      </w:pPr>
      <w:r>
        <w:rPr>
          <w:rFonts w:ascii="Georgia" w:cs="Georgia" w:eastAsia="Georgia" w:hAnsi="Georgia"/>
          <w:b/>
          <w:bCs/>
          <w:color w:val="2E7D5B"/>
          <w:sz w:val="21"/>
          <w:szCs w:val="21"/>
        </w:rPr>
        <w:t xml:space="preserve">Navigation philosophy</w:t>
      </w:r>
    </w:p>
    <w:p>
      <w:pPr>
        <w:spacing w:after="120" w:line="276"/>
      </w:pPr>
      <w:r>
        <w:rPr>
          <w:rFonts w:ascii="Georgia" w:cs="Georgia" w:eastAsia="Georgia" w:hAnsi="Georgia"/>
          <w:color w:val="222222"/>
          <w:sz w:val="21"/>
          <w:szCs w:val="21"/>
        </w:rPr>
        <w:t xml:space="preserve">Two primary paths — Families and Partners. Organizations and Coaches are sub-paths reached through the Founding Partner hub, which also carries dedicated League and Facility sections.</w:t>
      </w:r>
    </w:p>
    <w:p>
      <w:pPr>
        <w:pStyle w:val="Heading3"/>
        <w:spacing w:after="70" w:before="160"/>
      </w:pPr>
      <w:r>
        <w:rPr>
          <w:rFonts w:ascii="Georgia" w:cs="Georgia" w:eastAsia="Georgia" w:hAnsi="Georgia"/>
          <w:b/>
          <w:bCs/>
          <w:color w:val="2E7D5B"/>
          <w:sz w:val="21"/>
          <w:szCs w:val="21"/>
        </w:rPr>
        <w:t xml:space="preserve">Customer journey</w:t>
      </w:r>
    </w:p>
    <w:p>
      <w:pPr>
        <w:spacing w:after="120" w:line="276"/>
      </w:pPr>
      <w:r>
        <w:rPr>
          <w:rFonts w:ascii="Georgia" w:cs="Georgia" w:eastAsia="Georgia" w:hAnsi="Georgia"/>
          <w:color w:val="222222"/>
          <w:sz w:val="21"/>
          <w:szCs w:val="21"/>
        </w:rPr>
        <w:t xml:space="preserve">The family path leads to “Start Free”; the partner path leads to “Request details.” In the preview these calls to action are intentionally inactive (see Section 7).</w:t>
      </w:r>
    </w:p>
    <w:p>
      <w:pPr>
        <w:pStyle w:val="Heading3"/>
        <w:spacing w:after="70" w:before="160"/>
      </w:pPr>
      <w:r>
        <w:rPr>
          <w:rFonts w:ascii="Georgia" w:cs="Georgia" w:eastAsia="Georgia" w:hAnsi="Georgia"/>
          <w:b/>
          <w:bCs/>
          <w:color w:val="2E7D5B"/>
          <w:sz w:val="21"/>
          <w:szCs w:val="21"/>
        </w:rPr>
        <w:t xml:space="preserve">Transformation messaging</w:t>
      </w:r>
    </w:p>
    <w:p>
      <w:pPr>
        <w:spacing w:after="120" w:line="276"/>
      </w:pPr>
      <w:r>
        <w:rPr>
          <w:rFonts w:ascii="Georgia" w:cs="Georgia" w:eastAsia="Georgia" w:hAnsi="Georgia"/>
          <w:color w:val="222222"/>
          <w:sz w:val="21"/>
          <w:szCs w:val="21"/>
        </w:rPr>
        <w:t xml:space="preserve">Emotional elevation without added length, and honesty throughout: integrations are described as “works alongside the apps you already use,” with named sources confirmed later.</w:t>
      </w:r>
    </w:p>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7. Website Preview</w:t>
      </w:r>
    </w:p>
    <w:p>
      <w:pPr>
        <w:pStyle w:val="Heading3"/>
        <w:spacing w:after="70" w:before="160"/>
      </w:pPr>
      <w:r>
        <w:rPr>
          <w:rFonts w:ascii="Georgia" w:cs="Georgia" w:eastAsia="Georgia" w:hAnsi="Georgia"/>
          <w:b/>
          <w:bCs/>
          <w:color w:val="2E7D5B"/>
          <w:sz w:val="21"/>
          <w:szCs w:val="21"/>
        </w:rPr>
        <w:t xml:space="preserve">Version 1</w:t>
      </w:r>
    </w:p>
    <w:p>
      <w:pPr>
        <w:spacing w:after="120" w:line="276"/>
      </w:pPr>
      <w:r>
        <w:rPr>
          <w:rFonts w:ascii="Georgia" w:cs="Georgia" w:eastAsia="Georgia" w:hAnsi="Georgia"/>
          <w:color w:val="222222"/>
          <w:sz w:val="21"/>
          <w:szCs w:val="21"/>
        </w:rPr>
        <w:t xml:space="preserve">A private preview of the proposed website was produced for review: five pages — Homepage, Founding Families, Founding Partner, Organizations and Coaches — executing the “Back to the Game” theme and the elevated website copy. It is a visual approval prototype only; the live Venuewise website was not changed.</w:t>
      </w:r>
    </w:p>
    <w:p>
      <w:pPr>
        <w:pStyle w:val="Heading3"/>
        <w:spacing w:after="70" w:before="160"/>
      </w:pPr>
      <w:r>
        <w:rPr>
          <w:rFonts w:ascii="Georgia" w:cs="Georgia" w:eastAsia="Georgia" w:hAnsi="Georgia"/>
          <w:b/>
          <w:bCs/>
          <w:color w:val="2E7D5B"/>
          <w:sz w:val="21"/>
          <w:szCs w:val="21"/>
        </w:rPr>
        <w:t xml:space="preserve">Executive Creative Review</w:t>
      </w:r>
    </w:p>
    <w:p>
      <w:pPr>
        <w:spacing w:after="120" w:line="276"/>
      </w:pPr>
      <w:r>
        <w:rPr>
          <w:rFonts w:ascii="Georgia" w:cs="Georgia" w:eastAsia="Georgia" w:hAnsi="Georgia"/>
          <w:color w:val="222222"/>
          <w:sz w:val="21"/>
          <w:szCs w:val="21"/>
        </w:rPr>
        <w:t xml:space="preserve">The creative direction was reviewed and approved as the “Back to the Game” design system — a warm, original Western-New-York sports look (color palette, headline treatment, layout, a calendar hero motif, and a simple “Venuewise” wordmark). No existing Venuewise logos or brand assets were available, so none were copied or invented.</w:t>
      </w:r>
    </w:p>
    <w:p>
      <w:pPr>
        <w:pStyle w:val="Heading3"/>
        <w:spacing w:after="70" w:before="160"/>
      </w:pPr>
      <w:r>
        <w:rPr>
          <w:rFonts w:ascii="Georgia" w:cs="Georgia" w:eastAsia="Georgia" w:hAnsi="Georgia"/>
          <w:b/>
          <w:bCs/>
          <w:color w:val="2E7D5B"/>
          <w:sz w:val="21"/>
          <w:szCs w:val="21"/>
        </w:rPr>
        <w:t xml:space="preserve">Website Preview Review</w:t>
      </w:r>
    </w:p>
    <w:p>
      <w:pPr>
        <w:spacing w:after="120" w:line="276"/>
      </w:pPr>
      <w:r>
        <w:rPr>
          <w:rFonts w:ascii="Georgia" w:cs="Georgia" w:eastAsia="Georgia" w:hAnsi="Georgia"/>
          <w:color w:val="222222"/>
          <w:sz w:val="21"/>
          <w:szCs w:val="21"/>
        </w:rPr>
        <w:t xml:space="preserve">The preview was reviewed and confirmed safe for review by design: clearly marked “Not Live” on every page, with all buttons inactive, no connection to live systems or customer data, and no invented logos, testimonials, statistics or pricing.</w:t>
      </w:r>
    </w:p>
    <w:p>
      <w:pPr>
        <w:pStyle w:val="Heading3"/>
        <w:spacing w:after="70" w:before="160"/>
      </w:pPr>
      <w:r>
        <w:rPr>
          <w:rFonts w:ascii="Georgia" w:cs="Georgia" w:eastAsia="Georgia" w:hAnsi="Georgia"/>
          <w:b/>
          <w:bCs/>
          <w:color w:val="2E7D5B"/>
          <w:sz w:val="21"/>
          <w:szCs w:val="21"/>
        </w:rPr>
        <w:t xml:space="preserve">Approved direction</w:t>
      </w:r>
    </w:p>
    <w:p>
      <w:pPr>
        <w:pStyle w:val="ListParagraph"/>
        <w:numPr>
          <w:ilvl w:val="0"/>
          <w:numId w:val="2"/>
        </w:numPr>
        <w:spacing w:after="60" w:line="268"/>
      </w:pPr>
      <w:r>
        <w:rPr>
          <w:rFonts w:ascii="Georgia" w:cs="Georgia" w:eastAsia="Georgia" w:hAnsi="Georgia"/>
          <w:color w:val="222222"/>
          <w:sz w:val="21"/>
          <w:szCs w:val="21"/>
        </w:rPr>
        <w:t xml:space="preserve">The “Back to the Game” theme and elevated website copy as the creative and copy baseline.</w:t>
      </w:r>
    </w:p>
    <w:p>
      <w:pPr>
        <w:pStyle w:val="ListParagraph"/>
        <w:numPr>
          <w:ilvl w:val="0"/>
          <w:numId w:val="2"/>
        </w:numPr>
        <w:spacing w:after="60" w:line="268"/>
      </w:pPr>
      <w:r>
        <w:rPr>
          <w:rFonts w:ascii="Georgia" w:cs="Georgia" w:eastAsia="Georgia" w:hAnsi="Georgia"/>
          <w:color w:val="222222"/>
          <w:sz w:val="21"/>
          <w:szCs w:val="21"/>
        </w:rPr>
        <w:t xml:space="preserve">Two audience paths (Families, Partners) with a founding-family-first homepage.</w:t>
      </w:r>
    </w:p>
    <w:p>
      <w:pPr>
        <w:pStyle w:val="ListParagraph"/>
        <w:numPr>
          <w:ilvl w:val="0"/>
          <w:numId w:val="2"/>
        </w:numPr>
        <w:spacing w:after="60" w:line="268"/>
      </w:pPr>
      <w:r>
        <w:rPr>
          <w:rFonts w:ascii="Georgia" w:cs="Georgia" w:eastAsia="Georgia" w:hAnsi="Georgia"/>
          <w:color w:val="222222"/>
          <w:sz w:val="21"/>
          <w:szCs w:val="21"/>
        </w:rPr>
        <w:t xml:space="preserve">Honesty throughout — every commercial term held as “To Be Confirmed” pending confirmation before any external launch.</w:t>
      </w:r>
    </w:p>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8. Business Transformation Roadmap</w:t>
      </w:r>
    </w:p>
    <w:p>
      <w:pPr>
        <w:pBdr>
          <w:left w:val="single" w:color="2E7D5B" w:sz="18" w:space="8"/>
        </w:pBdr>
        <w:shd w:fill="EEF2F6" w:color="auto" w:val="clear"/>
        <w:spacing w:after="140" w:before="80" w:line="276"/>
      </w:pPr>
      <w:r>
        <w:rPr>
          <w:rFonts w:ascii="Georgia" w:cs="Georgia" w:eastAsia="Georgia" w:hAnsi="Georgia"/>
          <w:i/>
          <w:iCs/>
          <w:color w:val="44546A"/>
          <w:sz w:val="20"/>
          <w:szCs w:val="20"/>
        </w:rPr>
        <w:t xml:space="preserve">  The roadmap below reflects the approved transformation priorities and the 90-day plan. Sequencing follows severity and dependency; no new initiatives are introduced.</w:t>
      </w:r>
    </w:p>
    <w:p>
      <w:pPr>
        <w:pStyle w:val="Heading2"/>
        <w:spacing w:after="90" w:before="220"/>
      </w:pPr>
      <w:r>
        <w:rPr>
          <w:rFonts w:ascii="Georgia" w:cs="Georgia" w:eastAsia="Georgia" w:hAnsi="Georgia"/>
          <w:b/>
          <w:bCs/>
          <w:color w:val="44546A"/>
          <w:sz w:val="24"/>
          <w:szCs w:val="24"/>
        </w:rPr>
        <w:t xml:space="preserve">Phase 1 — Immediate (0–30 days)</w:t>
      </w:r>
    </w:p>
    <w:p>
      <w:pPr>
        <w:pStyle w:val="ListParagraph"/>
        <w:numPr>
          <w:ilvl w:val="0"/>
          <w:numId w:val="2"/>
        </w:numPr>
        <w:spacing w:after="60" w:line="268"/>
      </w:pPr>
      <w:r>
        <w:rPr>
          <w:rFonts w:ascii="Georgia" w:cs="Georgia" w:eastAsia="Georgia" w:hAnsi="Georgia"/>
          <w:color w:val="222222"/>
          <w:sz w:val="21"/>
          <w:szCs w:val="21"/>
        </w:rPr>
        <w:t xml:space="preserve">AI Search Optimization (critical) — optimize for AI search with structured content.</w:t>
      </w:r>
    </w:p>
    <w:p>
      <w:pPr>
        <w:pStyle w:val="ListParagraph"/>
        <w:numPr>
          <w:ilvl w:val="0"/>
          <w:numId w:val="2"/>
        </w:numPr>
        <w:spacing w:after="60" w:line="268"/>
      </w:pPr>
      <w:r>
        <w:rPr>
          <w:rFonts w:ascii="Georgia" w:cs="Georgia" w:eastAsia="Georgia" w:hAnsi="Georgia"/>
          <w:color w:val="222222"/>
          <w:sz w:val="21"/>
          <w:szCs w:val="21"/>
        </w:rPr>
        <w:t xml:space="preserve">AI Assistants (critical) — introduce governed AI assistants for key roles.</w:t>
      </w:r>
    </w:p>
    <w:p>
      <w:pPr>
        <w:pStyle w:val="ListParagraph"/>
        <w:numPr>
          <w:ilvl w:val="0"/>
          <w:numId w:val="2"/>
        </w:numPr>
        <w:spacing w:after="60" w:line="268"/>
      </w:pPr>
      <w:r>
        <w:rPr>
          <w:rFonts w:ascii="Georgia" w:cs="Georgia" w:eastAsia="Georgia" w:hAnsi="Georgia"/>
          <w:color w:val="222222"/>
          <w:sz w:val="21"/>
          <w:szCs w:val="21"/>
        </w:rPr>
        <w:t xml:space="preserve">Internal AI Workflows (critical) — deploy AI-assisted internal workflows with guardrails.</w:t>
      </w:r>
    </w:p>
    <w:p>
      <w:pPr>
        <w:pStyle w:val="ListParagraph"/>
        <w:numPr>
          <w:ilvl w:val="0"/>
          <w:numId w:val="2"/>
        </w:numPr>
        <w:spacing w:after="60" w:line="268"/>
      </w:pPr>
      <w:r>
        <w:rPr>
          <w:rFonts w:ascii="Georgia" w:cs="Georgia" w:eastAsia="Georgia" w:hAnsi="Georgia"/>
          <w:color w:val="222222"/>
          <w:sz w:val="21"/>
          <w:szCs w:val="21"/>
        </w:rPr>
        <w:t xml:space="preserve">Security (high) — close priority security gaps and add monitoring.</w:t>
      </w:r>
    </w:p>
    <w:p>
      <w:pPr>
        <w:pStyle w:val="ListParagraph"/>
        <w:numPr>
          <w:ilvl w:val="0"/>
          <w:numId w:val="2"/>
        </w:numPr>
        <w:spacing w:after="60" w:line="268"/>
      </w:pPr>
      <w:r>
        <w:rPr>
          <w:rFonts w:ascii="Georgia" w:cs="Georgia" w:eastAsia="Georgia" w:hAnsi="Georgia"/>
          <w:color w:val="222222"/>
          <w:sz w:val="21"/>
          <w:szCs w:val="21"/>
        </w:rPr>
        <w:t xml:space="preserve">Run the live market and visibility scan to establish real external baselines.</w:t>
      </w:r>
    </w:p>
    <w:p>
      <w:pPr>
        <w:pStyle w:val="ListParagraph"/>
        <w:numPr>
          <w:ilvl w:val="0"/>
          <w:numId w:val="2"/>
        </w:numPr>
        <w:spacing w:after="60" w:line="268"/>
      </w:pPr>
      <w:r>
        <w:rPr>
          <w:rFonts w:ascii="Georgia" w:cs="Georgia" w:eastAsia="Georgia" w:hAnsi="Georgia"/>
          <w:color w:val="222222"/>
          <w:sz w:val="21"/>
          <w:szCs w:val="21"/>
        </w:rPr>
        <w:t xml:space="preserve">Confirm the four open commercial decisions (see Appendix).</w:t>
      </w:r>
    </w:p>
    <w:p>
      <w:pPr>
        <w:pStyle w:val="Heading2"/>
        <w:spacing w:after="90" w:before="220"/>
      </w:pPr>
      <w:r>
        <w:rPr>
          <w:rFonts w:ascii="Georgia" w:cs="Georgia" w:eastAsia="Georgia" w:hAnsi="Georgia"/>
          <w:b/>
          <w:bCs/>
          <w:color w:val="44546A"/>
          <w:sz w:val="24"/>
          <w:szCs w:val="24"/>
        </w:rPr>
        <w:t xml:space="preserve">Phase 2 — Short-Term (30–90 days)</w:t>
      </w:r>
    </w:p>
    <w:p>
      <w:pPr>
        <w:pStyle w:val="ListParagraph"/>
        <w:numPr>
          <w:ilvl w:val="0"/>
          <w:numId w:val="2"/>
        </w:numPr>
        <w:spacing w:after="60" w:line="268"/>
      </w:pPr>
      <w:r>
        <w:rPr>
          <w:rFonts w:ascii="Georgia" w:cs="Georgia" w:eastAsia="Georgia" w:hAnsi="Georgia"/>
          <w:color w:val="222222"/>
          <w:sz w:val="21"/>
          <w:szCs w:val="21"/>
        </w:rPr>
        <w:t xml:space="preserve">Conversion &amp; Lead Generation (high) — optimize the funnel and follow-up motion; build a measurable lead-generation system.</w:t>
      </w:r>
    </w:p>
    <w:p>
      <w:pPr>
        <w:pStyle w:val="ListParagraph"/>
        <w:numPr>
          <w:ilvl w:val="0"/>
          <w:numId w:val="2"/>
        </w:numPr>
        <w:spacing w:after="60" w:line="268"/>
      </w:pPr>
      <w:r>
        <w:rPr>
          <w:rFonts w:ascii="Georgia" w:cs="Georgia" w:eastAsia="Georgia" w:hAnsi="Georgia"/>
          <w:color w:val="222222"/>
          <w:sz w:val="21"/>
          <w:szCs w:val="21"/>
        </w:rPr>
        <w:t xml:space="preserve">Search foundation (high) — run a search-engine foundation and content program.</w:t>
      </w:r>
    </w:p>
    <w:p>
      <w:pPr>
        <w:pStyle w:val="ListParagraph"/>
        <w:numPr>
          <w:ilvl w:val="0"/>
          <w:numId w:val="2"/>
        </w:numPr>
        <w:spacing w:after="60" w:line="268"/>
      </w:pPr>
      <w:r>
        <w:rPr>
          <w:rFonts w:ascii="Georgia" w:cs="Georgia" w:eastAsia="Georgia" w:hAnsi="Georgia"/>
          <w:color w:val="222222"/>
          <w:sz w:val="21"/>
          <w:szCs w:val="21"/>
        </w:rPr>
        <w:t xml:space="preserve">Architecture (high) &amp; Processes (medium) — set a clear target architecture and standardize the highest-friction processes.</w:t>
      </w:r>
    </w:p>
    <w:p>
      <w:pPr>
        <w:pStyle w:val="ListParagraph"/>
        <w:numPr>
          <w:ilvl w:val="0"/>
          <w:numId w:val="2"/>
        </w:numPr>
        <w:spacing w:after="60" w:line="268"/>
      </w:pPr>
      <w:r>
        <w:rPr>
          <w:rFonts w:ascii="Georgia" w:cs="Georgia" w:eastAsia="Georgia" w:hAnsi="Georgia"/>
          <w:color w:val="222222"/>
          <w:sz w:val="21"/>
          <w:szCs w:val="21"/>
        </w:rPr>
        <w:t xml:space="preserve">Website (medium) — launch the modernized site after confirmation; stand up the sports-intelligence and review-management capabilities; approve the campaign.</w:t>
      </w:r>
    </w:p>
    <w:p>
      <w:pPr>
        <w:pStyle w:val="Heading2"/>
        <w:spacing w:after="90" w:before="220"/>
      </w:pPr>
      <w:r>
        <w:rPr>
          <w:rFonts w:ascii="Georgia" w:cs="Georgia" w:eastAsia="Georgia" w:hAnsi="Georgia"/>
          <w:b/>
          <w:bCs/>
          <w:color w:val="44546A"/>
          <w:sz w:val="24"/>
          <w:szCs w:val="24"/>
        </w:rPr>
        <w:t xml:space="preserve">Phase 3 — Medium-Term (3–6 months)</w:t>
      </w:r>
    </w:p>
    <w:p>
      <w:pPr>
        <w:pStyle w:val="ListParagraph"/>
        <w:numPr>
          <w:ilvl w:val="0"/>
          <w:numId w:val="2"/>
        </w:numPr>
        <w:spacing w:after="60" w:line="268"/>
      </w:pPr>
      <w:r>
        <w:rPr>
          <w:rFonts w:ascii="Georgia" w:cs="Georgia" w:eastAsia="Georgia" w:hAnsi="Georgia"/>
          <w:color w:val="222222"/>
          <w:sz w:val="21"/>
          <w:szCs w:val="21"/>
        </w:rPr>
        <w:t xml:space="preserve">Growth Readiness (medium) — build the systems foundation required to scale.</w:t>
      </w:r>
    </w:p>
    <w:p>
      <w:pPr>
        <w:pStyle w:val="ListParagraph"/>
        <w:numPr>
          <w:ilvl w:val="0"/>
          <w:numId w:val="2"/>
        </w:numPr>
        <w:spacing w:after="60" w:line="268"/>
      </w:pPr>
      <w:r>
        <w:rPr>
          <w:rFonts w:ascii="Georgia" w:cs="Georgia" w:eastAsia="Georgia" w:hAnsi="Georgia"/>
          <w:color w:val="222222"/>
          <w:sz w:val="21"/>
          <w:szCs w:val="21"/>
        </w:rPr>
        <w:t xml:space="preserve">Launch the social campaign, onboard teams, and measure engagement and retention against the newly established baselines.</w:t>
      </w:r>
    </w:p>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9. Executive Conclusions</w:t>
      </w:r>
    </w:p>
    <w:p>
      <w:pPr>
        <w:pStyle w:val="Heading3"/>
        <w:spacing w:after="70" w:before="160"/>
      </w:pPr>
      <w:r>
        <w:rPr>
          <w:rFonts w:ascii="Georgia" w:cs="Georgia" w:eastAsia="Georgia" w:hAnsi="Georgia"/>
          <w:b/>
          <w:bCs/>
          <w:color w:val="2E7D5B"/>
          <w:sz w:val="21"/>
          <w:szCs w:val="21"/>
        </w:rPr>
        <w:t xml:space="preserve">Current readiness</w:t>
      </w:r>
    </w:p>
    <w:p>
      <w:pPr>
        <w:spacing w:after="120" w:line="276"/>
      </w:pPr>
      <w:r>
        <w:rPr>
          <w:rFonts w:ascii="Georgia" w:cs="Georgia" w:eastAsia="Georgia" w:hAnsi="Georgia"/>
          <w:color w:val="222222"/>
          <w:sz w:val="21"/>
          <w:szCs w:val="21"/>
        </w:rPr>
        <w:t xml:space="preserve">Product and platform readiness is high — a mature, secure foundation, a proven payments flow, and a transformation that can be delivered largely from existing, proven building blocks. Demand-side readiness is low — visibility, conversion, lead generation and AI are the weak points. A new website and copy are prepared and previewed, awaiting confirmation of commercial terms.</w:t>
      </w:r>
    </w:p>
    <w:p>
      <w:pPr>
        <w:pStyle w:val="Heading3"/>
        <w:spacing w:after="70" w:before="160"/>
      </w:pPr>
      <w:r>
        <w:rPr>
          <w:rFonts w:ascii="Georgia" w:cs="Georgia" w:eastAsia="Georgia" w:hAnsi="Georgia"/>
          <w:b/>
          <w:bCs/>
          <w:color w:val="2E7D5B"/>
          <w:sz w:val="21"/>
          <w:szCs w:val="21"/>
        </w:rPr>
        <w:t xml:space="preserve">Primary priorities</w:t>
      </w:r>
    </w:p>
    <w:p>
      <w:pPr>
        <w:pStyle w:val="ListParagraph"/>
        <w:numPr>
          <w:ilvl w:val="0"/>
          <w:numId w:val="3"/>
        </w:numPr>
        <w:spacing w:after="60" w:line="268"/>
      </w:pPr>
      <w:r>
        <w:rPr>
          <w:rFonts w:ascii="Georgia" w:cs="Georgia" w:eastAsia="Georgia" w:hAnsi="Georgia"/>
          <w:color w:val="222222"/>
          <w:sz w:val="21"/>
          <w:szCs w:val="21"/>
        </w:rPr>
        <w:t xml:space="preserve">Close the AI-readiness gap (AI search, governed assistants, AI-assisted internal workflows).</w:t>
      </w:r>
    </w:p>
    <w:p>
      <w:pPr>
        <w:pStyle w:val="ListParagraph"/>
        <w:numPr>
          <w:ilvl w:val="0"/>
          <w:numId w:val="3"/>
        </w:numPr>
        <w:spacing w:after="60" w:line="268"/>
      </w:pPr>
      <w:r>
        <w:rPr>
          <w:rFonts w:ascii="Georgia" w:cs="Georgia" w:eastAsia="Georgia" w:hAnsi="Georgia"/>
          <w:color w:val="222222"/>
          <w:sz w:val="21"/>
          <w:szCs w:val="21"/>
        </w:rPr>
        <w:t xml:space="preserve">Repair the growth system (search foundation, funnel conversion, repeatable lead generation).</w:t>
      </w:r>
    </w:p>
    <w:p>
      <w:pPr>
        <w:pStyle w:val="ListParagraph"/>
        <w:numPr>
          <w:ilvl w:val="0"/>
          <w:numId w:val="3"/>
        </w:numPr>
        <w:spacing w:after="60" w:line="268"/>
      </w:pPr>
      <w:r>
        <w:rPr>
          <w:rFonts w:ascii="Georgia" w:cs="Georgia" w:eastAsia="Georgia" w:hAnsi="Georgia"/>
          <w:color w:val="222222"/>
          <w:sz w:val="21"/>
          <w:szCs w:val="21"/>
        </w:rPr>
        <w:t xml:space="preserve">Confirm the four commercial terms and launch the new website and campaign.</w:t>
      </w:r>
    </w:p>
    <w:p>
      <w:pPr>
        <w:pStyle w:val="Heading3"/>
        <w:spacing w:after="70" w:before="160"/>
      </w:pPr>
      <w:r>
        <w:rPr>
          <w:rFonts w:ascii="Georgia" w:cs="Georgia" w:eastAsia="Georgia" w:hAnsi="Georgia"/>
          <w:b/>
          <w:bCs/>
          <w:color w:val="2E7D5B"/>
          <w:sz w:val="21"/>
          <w:szCs w:val="21"/>
        </w:rPr>
        <w:t xml:space="preserve">Business impact</w:t>
      </w:r>
    </w:p>
    <w:p>
      <w:pPr>
        <w:spacing w:after="120" w:line="276"/>
      </w:pPr>
      <w:r>
        <w:rPr>
          <w:rFonts w:ascii="Georgia" w:cs="Georgia" w:eastAsia="Georgia" w:hAnsi="Georgia"/>
          <w:color w:val="222222"/>
          <w:sz w:val="21"/>
          <w:szCs w:val="21"/>
        </w:rPr>
        <w:t xml:space="preserve">This is an analysis-only engagement. Financial values — automation savings, operating-cost reduction, revenue and recurring-revenue opportunity — are pending the inputs required to state them (monthly manual-labor hours and loaded cost, monthly operating cost, current revenue and conversion data). No return figures are asserted without those inputs.</w:t>
      </w:r>
    </w:p>
    <w:p>
      <w:pPr>
        <w:pStyle w:val="Heading3"/>
        <w:spacing w:after="70" w:before="160"/>
      </w:pPr>
      <w:r>
        <w:rPr>
          <w:rFonts w:ascii="Georgia" w:cs="Georgia" w:eastAsia="Georgia" w:hAnsi="Georgia"/>
          <w:b/>
          <w:bCs/>
          <w:color w:val="2E7D5B"/>
          <w:sz w:val="21"/>
          <w:szCs w:val="21"/>
        </w:rPr>
        <w:t xml:space="preserve">Expected transformation</w:t>
      </w:r>
    </w:p>
    <w:p>
      <w:pPr>
        <w:spacing w:after="120" w:line="276"/>
      </w:pPr>
      <w:r>
        <w:rPr>
          <w:rFonts w:ascii="Georgia" w:cs="Georgia" w:eastAsia="Georgia" w:hAnsi="Georgia"/>
          <w:color w:val="222222"/>
          <w:sz w:val="21"/>
          <w:szCs w:val="21"/>
        </w:rPr>
        <w:t xml:space="preserve">The intended shift is from a strong-but-under-marketed live product to a visible, converting, AI-enabled youth-sports platform — stated as targets, to be measured against baselines established by the scan, not as guaranteed outcomes.</w:t>
      </w:r>
    </w:p>
    <w:p>
      <w:r>
        <w:br w:type="page"/>
      </w:r>
    </w:p>
    <w:p>
      <w:pPr>
        <w:pStyle w:val="Heading1"/>
        <w:pBdr>
          <w:bottom w:val="single" w:color="1F3A5F" w:sz="8" w:space="6"/>
        </w:pBdr>
        <w:spacing w:after="140" w:before="320"/>
      </w:pPr>
      <w:r>
        <w:rPr>
          <w:rFonts w:ascii="Georgia" w:cs="Georgia" w:eastAsia="Georgia" w:hAnsi="Georgia"/>
          <w:b/>
          <w:bCs/>
          <w:color w:val="1F3A5F"/>
          <w:sz w:val="30"/>
          <w:szCs w:val="30"/>
        </w:rPr>
        <w:t xml:space="preserve">10. Appendix</w:t>
      </w:r>
    </w:p>
    <w:p>
      <w:pPr>
        <w:pStyle w:val="Heading2"/>
        <w:spacing w:after="90" w:before="220"/>
      </w:pPr>
      <w:r>
        <w:rPr>
          <w:rFonts w:ascii="Georgia" w:cs="Georgia" w:eastAsia="Georgia" w:hAnsi="Georgia"/>
          <w:b/>
          <w:bCs/>
          <w:color w:val="44546A"/>
          <w:sz w:val="24"/>
          <w:szCs w:val="24"/>
        </w:rPr>
        <w:t xml:space="preserve">A. Supporting evidence</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6365"/>
        <w:gridCol w:w="2995"/>
      </w:tblGrid>
      <w:tr>
        <w:trPr>
          <w:tblHeader/>
        </w:trPr>
        <w:tc>
          <w:tcPr>
            <w:tcW w:type="dxa" w:w="6365"/>
            <w:shd w:fill="1F3A5F" w:color="auto" w:val="clear"/>
            <w:tcMar>
              <w:top w:type="dxa" w:w="40"/>
              <w:left w:type="dxa" w:w="90"/>
              <w:bottom w:type="dxa" w:w="40"/>
              <w:right w:type="dxa" w:w="90"/>
            </w:tcMar>
          </w:tcPr>
          <w:p>
            <w:pPr>
              <w:spacing w:after="0" w:line="252"/>
            </w:pPr>
            <w:r>
              <w:rPr>
                <w:rFonts w:ascii="Georgia" w:cs="Georgia" w:eastAsia="Georgia" w:hAnsi="Georgia"/>
                <w:b/>
                <w:bCs/>
                <w:color w:val="FFFFFF"/>
                <w:sz w:val="19"/>
                <w:szCs w:val="19"/>
              </w:rPr>
              <w:t xml:space="preserve">Signal</w:t>
            </w:r>
          </w:p>
        </w:tc>
        <w:tc>
          <w:tcPr>
            <w:tcW w:type="dxa" w:w="2995"/>
            <w:shd w:fill="1F3A5F" w:color="auto" w:val="clear"/>
            <w:tcMar>
              <w:top w:type="dxa" w:w="40"/>
              <w:left w:type="dxa" w:w="90"/>
              <w:bottom w:type="dxa" w:w="40"/>
              <w:right w:type="dxa" w:w="90"/>
            </w:tcMar>
          </w:tcPr>
          <w:p>
            <w:pPr>
              <w:spacing w:after="0" w:line="252"/>
              <w:jc w:val="center"/>
            </w:pPr>
            <w:r>
              <w:rPr>
                <w:rFonts w:ascii="Georgia" w:cs="Georgia" w:eastAsia="Georgia" w:hAnsi="Georgia"/>
                <w:b/>
                <w:bCs/>
                <w:color w:val="FFFFFF"/>
                <w:sz w:val="19"/>
                <w:szCs w:val="19"/>
              </w:rPr>
              <w:t xml:space="preserve">Value</w:t>
            </w:r>
          </w:p>
        </w:tc>
      </w:tr>
      <w:tr>
        <w:tc>
          <w:tcPr>
            <w:tcW w:type="dxa" w:w="6365"/>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Automated text messages sent</w:t>
            </w:r>
          </w:p>
        </w:tc>
        <w:tc>
          <w:tcPr>
            <w:tcW w:type="dxa" w:w="2995"/>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284</w:t>
            </w:r>
          </w:p>
        </w:tc>
      </w:tr>
      <w:tr>
        <w:tc>
          <w:tcPr>
            <w:tcW w:type="dxa" w:w="6365"/>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Website page views</w:t>
            </w:r>
          </w:p>
        </w:tc>
        <w:tc>
          <w:tcPr>
            <w:tcW w:type="dxa" w:w="2995"/>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703</w:t>
            </w:r>
          </w:p>
        </w:tc>
      </w:tr>
      <w:tr>
        <w:tc>
          <w:tcPr>
            <w:tcW w:type="dxa" w:w="6365"/>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Scheduled events / calendar entries</w:t>
            </w:r>
          </w:p>
        </w:tc>
        <w:tc>
          <w:tcPr>
            <w:tcW w:type="dxa" w:w="2995"/>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118 / 93</w:t>
            </w:r>
          </w:p>
        </w:tc>
      </w:tr>
      <w:tr>
        <w:tc>
          <w:tcPr>
            <w:tcW w:type="dxa" w:w="6365"/>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Completed automated workflows</w:t>
            </w:r>
          </w:p>
        </w:tc>
        <w:tc>
          <w:tcPr>
            <w:tcW w:type="dxa" w:w="2995"/>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52</w:t>
            </w:r>
          </w:p>
        </w:tc>
      </w:tr>
      <w:tr>
        <w:tc>
          <w:tcPr>
            <w:tcW w:type="dxa" w:w="6365"/>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Active paid subscriptions</w:t>
            </w:r>
          </w:p>
        </w:tc>
        <w:tc>
          <w:tcPr>
            <w:tcW w:type="dxa" w:w="2995"/>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1</w:t>
            </w:r>
          </w:p>
        </w:tc>
      </w:tr>
      <w:tr>
        <w:tc>
          <w:tcPr>
            <w:tcW w:type="dxa" w:w="6365"/>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Assessment domains / dimensions / findings</w:t>
            </w:r>
          </w:p>
        </w:tc>
        <w:tc>
          <w:tcPr>
            <w:tcW w:type="dxa" w:w="2995"/>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4 / 16 / 11</w:t>
            </w:r>
          </w:p>
        </w:tc>
      </w:tr>
      <w:tr>
        <w:tc>
          <w:tcPr>
            <w:tcW w:type="dxa" w:w="6365"/>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Verified facts / inferences / recommendations</w:t>
            </w:r>
          </w:p>
        </w:tc>
        <w:tc>
          <w:tcPr>
            <w:tcW w:type="dxa" w:w="2995"/>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11 / 22 / 11</w:t>
            </w:r>
          </w:p>
        </w:tc>
      </w:tr>
    </w:tbl>
    <w:p>
      <w:pPr>
        <w:spacing w:after="120"/>
      </w:pPr>
    </w:p>
    <w:p>
      <w:pPr>
        <w:pStyle w:val="Heading2"/>
        <w:spacing w:after="90" w:before="220"/>
      </w:pPr>
      <w:r>
        <w:rPr>
          <w:rFonts w:ascii="Georgia" w:cs="Georgia" w:eastAsia="Georgia" w:hAnsi="Georgia"/>
          <w:b/>
          <w:bCs/>
          <w:color w:val="44546A"/>
          <w:sz w:val="24"/>
          <w:szCs w:val="24"/>
        </w:rPr>
        <w:t xml:space="preserve">B. Business assessment summary</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6365"/>
        <w:gridCol w:w="2995"/>
      </w:tblGrid>
      <w:tr>
        <w:trPr>
          <w:tblHeader/>
        </w:trPr>
        <w:tc>
          <w:tcPr>
            <w:tcW w:type="dxa" w:w="6365"/>
            <w:shd w:fill="1F3A5F" w:color="auto" w:val="clear"/>
            <w:tcMar>
              <w:top w:type="dxa" w:w="40"/>
              <w:left w:type="dxa" w:w="90"/>
              <w:bottom w:type="dxa" w:w="40"/>
              <w:right w:type="dxa" w:w="90"/>
            </w:tcMar>
          </w:tcPr>
          <w:p>
            <w:pPr>
              <w:spacing w:after="0" w:line="252"/>
            </w:pPr>
            <w:r>
              <w:rPr>
                <w:rFonts w:ascii="Georgia" w:cs="Georgia" w:eastAsia="Georgia" w:hAnsi="Georgia"/>
                <w:b/>
                <w:bCs/>
                <w:color w:val="FFFFFF"/>
                <w:sz w:val="19"/>
                <w:szCs w:val="19"/>
              </w:rPr>
              <w:t xml:space="preserve">Domain</w:t>
            </w:r>
          </w:p>
        </w:tc>
        <w:tc>
          <w:tcPr>
            <w:tcW w:type="dxa" w:w="2995"/>
            <w:shd w:fill="1F3A5F" w:color="auto" w:val="clear"/>
            <w:tcMar>
              <w:top w:type="dxa" w:w="40"/>
              <w:left w:type="dxa" w:w="90"/>
              <w:bottom w:type="dxa" w:w="40"/>
              <w:right w:type="dxa" w:w="90"/>
            </w:tcMar>
          </w:tcPr>
          <w:p>
            <w:pPr>
              <w:spacing w:after="0" w:line="252"/>
              <w:jc w:val="center"/>
            </w:pPr>
            <w:r>
              <w:rPr>
                <w:rFonts w:ascii="Georgia" w:cs="Georgia" w:eastAsia="Georgia" w:hAnsi="Georgia"/>
                <w:b/>
                <w:bCs/>
                <w:color w:val="FFFFFF"/>
                <w:sz w:val="19"/>
                <w:szCs w:val="19"/>
              </w:rPr>
              <w:t xml:space="preserve">Score</w:t>
            </w:r>
          </w:p>
        </w:tc>
      </w:tr>
      <w:tr>
        <w:tc>
          <w:tcPr>
            <w:tcW w:type="dxa" w:w="6365"/>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Business</w:t>
            </w:r>
          </w:p>
        </w:tc>
        <w:tc>
          <w:tcPr>
            <w:tcW w:type="dxa" w:w="2995"/>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72 / 100</w:t>
            </w:r>
          </w:p>
        </w:tc>
      </w:tr>
      <w:tr>
        <w:tc>
          <w:tcPr>
            <w:tcW w:type="dxa" w:w="6365"/>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Growth</w:t>
            </w:r>
          </w:p>
        </w:tc>
        <w:tc>
          <w:tcPr>
            <w:tcW w:type="dxa" w:w="2995"/>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50 / 100</w:t>
            </w:r>
          </w:p>
        </w:tc>
      </w:tr>
      <w:tr>
        <w:tc>
          <w:tcPr>
            <w:tcW w:type="dxa" w:w="6365"/>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Technology</w:t>
            </w:r>
          </w:p>
        </w:tc>
        <w:tc>
          <w:tcPr>
            <w:tcW w:type="dxa" w:w="2995"/>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40 / 100</w:t>
            </w:r>
          </w:p>
        </w:tc>
      </w:tr>
      <w:tr>
        <w:tc>
          <w:tcPr>
            <w:tcW w:type="dxa" w:w="6365"/>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AI readiness</w:t>
            </w:r>
          </w:p>
        </w:tc>
        <w:tc>
          <w:tcPr>
            <w:tcW w:type="dxa" w:w="2995"/>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20 / 100</w:t>
            </w:r>
          </w:p>
        </w:tc>
      </w:tr>
      <w:tr>
        <w:tc>
          <w:tcPr>
            <w:tcW w:type="dxa" w:w="6365"/>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Overall</w:t>
            </w:r>
          </w:p>
        </w:tc>
        <w:tc>
          <w:tcPr>
            <w:tcW w:type="dxa" w:w="2995"/>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47 / 100</w:t>
            </w:r>
          </w:p>
        </w:tc>
      </w:tr>
    </w:tbl>
    <w:p>
      <w:pPr>
        <w:spacing w:after="120"/>
      </w:pPr>
    </w:p>
    <w:p>
      <w:pPr>
        <w:pStyle w:val="Heading2"/>
        <w:spacing w:after="90" w:before="220"/>
      </w:pPr>
      <w:r>
        <w:rPr>
          <w:rFonts w:ascii="Georgia" w:cs="Georgia" w:eastAsia="Georgia" w:hAnsi="Georgia"/>
          <w:b/>
          <w:bCs/>
          <w:color w:val="44546A"/>
          <w:sz w:val="24"/>
          <w:szCs w:val="24"/>
        </w:rPr>
        <w:t xml:space="preserve">C. Transformation timeline</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562"/>
        <w:gridCol w:w="6178"/>
        <w:gridCol w:w="2621"/>
      </w:tblGrid>
      <w:tr>
        <w:trPr>
          <w:tblHeader/>
        </w:trPr>
        <w:tc>
          <w:tcPr>
            <w:tcW w:type="dxa" w:w="562"/>
            <w:shd w:fill="1F3A5F" w:color="auto" w:val="clear"/>
            <w:tcMar>
              <w:top w:type="dxa" w:w="40"/>
              <w:left w:type="dxa" w:w="90"/>
              <w:bottom w:type="dxa" w:w="40"/>
              <w:right w:type="dxa" w:w="90"/>
            </w:tcMar>
          </w:tcPr>
          <w:p>
            <w:pPr>
              <w:spacing w:after="0" w:line="252"/>
            </w:pPr>
            <w:r>
              <w:rPr>
                <w:rFonts w:ascii="Georgia" w:cs="Georgia" w:eastAsia="Georgia" w:hAnsi="Georgia"/>
                <w:b/>
                <w:bCs/>
                <w:color w:val="FFFFFF"/>
                <w:sz w:val="19"/>
                <w:szCs w:val="19"/>
              </w:rPr>
              <w:t xml:space="preserve">#</w:t>
            </w:r>
          </w:p>
        </w:tc>
        <w:tc>
          <w:tcPr>
            <w:tcW w:type="dxa" w:w="6178"/>
            <w:shd w:fill="1F3A5F" w:color="auto" w:val="clear"/>
            <w:tcMar>
              <w:top w:type="dxa" w:w="40"/>
              <w:left w:type="dxa" w:w="90"/>
              <w:bottom w:type="dxa" w:w="40"/>
              <w:right w:type="dxa" w:w="90"/>
            </w:tcMar>
          </w:tcPr>
          <w:p>
            <w:pPr>
              <w:spacing w:after="0" w:line="252"/>
              <w:jc w:val="center"/>
            </w:pPr>
            <w:r>
              <w:rPr>
                <w:rFonts w:ascii="Georgia" w:cs="Georgia" w:eastAsia="Georgia" w:hAnsi="Georgia"/>
                <w:b/>
                <w:bCs/>
                <w:color w:val="FFFFFF"/>
                <w:sz w:val="19"/>
                <w:szCs w:val="19"/>
              </w:rPr>
              <w:t xml:space="preserve">Phase</w:t>
            </w:r>
          </w:p>
        </w:tc>
        <w:tc>
          <w:tcPr>
            <w:tcW w:type="dxa" w:w="2621"/>
            <w:shd w:fill="1F3A5F" w:color="auto" w:val="clear"/>
            <w:tcMar>
              <w:top w:type="dxa" w:w="40"/>
              <w:left w:type="dxa" w:w="90"/>
              <w:bottom w:type="dxa" w:w="40"/>
              <w:right w:type="dxa" w:w="90"/>
            </w:tcMar>
          </w:tcPr>
          <w:p>
            <w:pPr>
              <w:spacing w:after="0" w:line="252"/>
              <w:jc w:val="center"/>
            </w:pPr>
            <w:r>
              <w:rPr>
                <w:rFonts w:ascii="Georgia" w:cs="Georgia" w:eastAsia="Georgia" w:hAnsi="Georgia"/>
                <w:b/>
                <w:bCs/>
                <w:color w:val="FFFFFF"/>
                <w:sz w:val="19"/>
                <w:szCs w:val="19"/>
              </w:rPr>
              <w:t xml:space="preserve">Status</w:t>
            </w:r>
          </w:p>
        </w:tc>
      </w:tr>
      <w:tr>
        <w:tc>
          <w:tcPr>
            <w:tcW w:type="dxa" w:w="562"/>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1</w:t>
            </w:r>
          </w:p>
        </w:tc>
        <w:tc>
          <w:tcPr>
            <w:tcW w:type="dxa" w:w="617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Business Transformation Investigation</w:t>
            </w:r>
          </w:p>
        </w:tc>
        <w:tc>
          <w:tcPr>
            <w:tcW w:type="dxa" w:w="2621"/>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2</w:t>
            </w:r>
          </w:p>
        </w:tc>
        <w:tc>
          <w:tcPr>
            <w:tcW w:type="dxa" w:w="617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Internal Business Discovery</w:t>
            </w:r>
          </w:p>
        </w:tc>
        <w:tc>
          <w:tcPr>
            <w:tcW w:type="dxa" w:w="2621"/>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3</w:t>
            </w:r>
          </w:p>
        </w:tc>
        <w:tc>
          <w:tcPr>
            <w:tcW w:type="dxa" w:w="617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Executive Evidence Gap Interview</w:t>
            </w:r>
          </w:p>
        </w:tc>
        <w:tc>
          <w:tcPr>
            <w:tcW w:type="dxa" w:w="2621"/>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4</w:t>
            </w:r>
          </w:p>
        </w:tc>
        <w:tc>
          <w:tcPr>
            <w:tcW w:type="dxa" w:w="617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Business Transformation Findings</w:t>
            </w:r>
          </w:p>
        </w:tc>
        <w:tc>
          <w:tcPr>
            <w:tcW w:type="dxa" w:w="2621"/>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5</w:t>
            </w:r>
          </w:p>
        </w:tc>
        <w:tc>
          <w:tcPr>
            <w:tcW w:type="dxa" w:w="617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Marketing Strategy</w:t>
            </w:r>
          </w:p>
        </w:tc>
        <w:tc>
          <w:tcPr>
            <w:tcW w:type="dxa" w:w="2621"/>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6</w:t>
            </w:r>
          </w:p>
        </w:tc>
        <w:tc>
          <w:tcPr>
            <w:tcW w:type="dxa" w:w="617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Launch Marketing Campaign</w:t>
            </w:r>
          </w:p>
        </w:tc>
        <w:tc>
          <w:tcPr>
            <w:tcW w:type="dxa" w:w="2621"/>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7</w:t>
            </w:r>
          </w:p>
        </w:tc>
        <w:tc>
          <w:tcPr>
            <w:tcW w:type="dxa" w:w="617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Founding Partner Program</w:t>
            </w:r>
          </w:p>
        </w:tc>
        <w:tc>
          <w:tcPr>
            <w:tcW w:type="dxa" w:w="2621"/>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8</w:t>
            </w:r>
          </w:p>
        </w:tc>
        <w:tc>
          <w:tcPr>
            <w:tcW w:type="dxa" w:w="617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Creative Framework</w:t>
            </w:r>
          </w:p>
        </w:tc>
        <w:tc>
          <w:tcPr>
            <w:tcW w:type="dxa" w:w="2621"/>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9</w:t>
            </w:r>
          </w:p>
        </w:tc>
        <w:tc>
          <w:tcPr>
            <w:tcW w:type="dxa" w:w="617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Website Copy (draft + elevated)</w:t>
            </w:r>
          </w:p>
        </w:tc>
        <w:tc>
          <w:tcPr>
            <w:tcW w:type="dxa" w:w="2621"/>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5F8FB"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10</w:t>
            </w:r>
          </w:p>
        </w:tc>
        <w:tc>
          <w:tcPr>
            <w:tcW w:type="dxa" w:w="6178"/>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Private Website Preview</w:t>
            </w:r>
          </w:p>
        </w:tc>
        <w:tc>
          <w:tcPr>
            <w:tcW w:type="dxa" w:w="2621"/>
            <w:shd w:fill="F5F8FB"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Complete</w:t>
            </w:r>
          </w:p>
        </w:tc>
      </w:tr>
      <w:tr>
        <w:tc>
          <w:tcPr>
            <w:tcW w:type="dxa" w:w="562"/>
            <w:shd w:fill="FFFFFF" w:color="auto" w:val="clear"/>
            <w:tcMar>
              <w:top w:type="dxa" w:w="40"/>
              <w:left w:type="dxa" w:w="90"/>
              <w:bottom w:type="dxa" w:w="40"/>
              <w:right w:type="dxa" w:w="90"/>
            </w:tcMar>
          </w:tcPr>
          <w:p>
            <w:pPr>
              <w:spacing w:after="0" w:line="252"/>
            </w:pPr>
            <w:r>
              <w:rPr>
                <w:rFonts w:ascii="Georgia" w:cs="Georgia" w:eastAsia="Georgia" w:hAnsi="Georgia"/>
                <w:color w:val="222222"/>
                <w:sz w:val="19"/>
                <w:szCs w:val="19"/>
              </w:rPr>
              <w:t xml:space="preserve">11</w:t>
            </w:r>
          </w:p>
        </w:tc>
        <w:tc>
          <w:tcPr>
            <w:tcW w:type="dxa" w:w="6178"/>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Owner Confirmation</w:t>
            </w:r>
          </w:p>
        </w:tc>
        <w:tc>
          <w:tcPr>
            <w:tcW w:type="dxa" w:w="2621"/>
            <w:shd w:fill="FFFFFF" w:color="auto" w:val="clear"/>
            <w:tcMar>
              <w:top w:type="dxa" w:w="40"/>
              <w:left w:type="dxa" w:w="90"/>
              <w:bottom w:type="dxa" w:w="40"/>
              <w:right w:type="dxa" w:w="90"/>
            </w:tcMar>
          </w:tcPr>
          <w:p>
            <w:pPr>
              <w:spacing w:after="0" w:line="252"/>
              <w:jc w:val="center"/>
            </w:pPr>
            <w:r>
              <w:rPr>
                <w:rFonts w:ascii="Georgia" w:cs="Georgia" w:eastAsia="Georgia" w:hAnsi="Georgia"/>
                <w:color w:val="222222"/>
                <w:sz w:val="19"/>
                <w:szCs w:val="19"/>
              </w:rPr>
              <w:t xml:space="preserve">In progress</w:t>
            </w:r>
          </w:p>
        </w:tc>
      </w:tr>
    </w:tbl>
    <w:p>
      <w:pPr>
        <w:spacing w:after="120"/>
      </w:pPr>
    </w:p>
    <w:p>
      <w:pPr>
        <w:pStyle w:val="Heading2"/>
        <w:spacing w:after="90" w:before="220"/>
      </w:pPr>
      <w:r>
        <w:rPr>
          <w:rFonts w:ascii="Georgia" w:cs="Georgia" w:eastAsia="Georgia" w:hAnsi="Georgia"/>
          <w:b/>
          <w:bCs/>
          <w:color w:val="44546A"/>
          <w:sz w:val="24"/>
          <w:szCs w:val="24"/>
        </w:rPr>
        <w:t xml:space="preserve">D. Open confirmations</w:t>
      </w:r>
    </w:p>
    <w:p>
      <w:pPr>
        <w:pStyle w:val="ListParagraph"/>
        <w:numPr>
          <w:ilvl w:val="0"/>
          <w:numId w:val="2"/>
        </w:numPr>
        <w:spacing w:after="60" w:line="268"/>
      </w:pPr>
      <w:r>
        <w:rPr>
          <w:rFonts w:ascii="Georgia" w:cs="Georgia" w:eastAsia="Georgia" w:hAnsi="Georgia"/>
          <w:color w:val="222222"/>
          <w:sz w:val="21"/>
          <w:szCs w:val="21"/>
        </w:rPr>
        <w:t xml:space="preserve">Supported schedule sources at launch — LeagueApps is evidenced internally; GameChanger and TeamSnap are not yet verified (all shown as “To Be Confirmed”).</w:t>
      </w:r>
    </w:p>
    <w:p>
      <w:pPr>
        <w:pStyle w:val="ListParagraph"/>
        <w:numPr>
          <w:ilvl w:val="0"/>
          <w:numId w:val="2"/>
        </w:numPr>
        <w:spacing w:after="60" w:line="268"/>
      </w:pPr>
      <w:r>
        <w:rPr>
          <w:rFonts w:ascii="Georgia" w:cs="Georgia" w:eastAsia="Georgia" w:hAnsi="Georgia"/>
          <w:color w:val="222222"/>
          <w:sz w:val="21"/>
          <w:szCs w:val="21"/>
        </w:rPr>
        <w:t xml:space="preserve">Founding Family benefits and duration.</w:t>
      </w:r>
    </w:p>
    <w:p>
      <w:pPr>
        <w:pStyle w:val="ListParagraph"/>
        <w:numPr>
          <w:ilvl w:val="0"/>
          <w:numId w:val="2"/>
        </w:numPr>
        <w:spacing w:after="60" w:line="268"/>
      </w:pPr>
      <w:r>
        <w:rPr>
          <w:rFonts w:ascii="Georgia" w:cs="Georgia" w:eastAsia="Georgia" w:hAnsi="Georgia"/>
          <w:color w:val="222222"/>
          <w:sz w:val="21"/>
          <w:szCs w:val="21"/>
        </w:rPr>
        <w:t xml:space="preserve">Pricing after the founding period (all pages).</w:t>
      </w:r>
    </w:p>
    <w:p>
      <w:pPr>
        <w:pStyle w:val="ListParagraph"/>
        <w:numPr>
          <w:ilvl w:val="0"/>
          <w:numId w:val="2"/>
        </w:numPr>
        <w:spacing w:after="60" w:line="268"/>
      </w:pPr>
      <w:r>
        <w:rPr>
          <w:rFonts w:ascii="Georgia" w:cs="Georgia" w:eastAsia="Georgia" w:hAnsi="Georgia"/>
          <w:color w:val="222222"/>
          <w:sz w:val="21"/>
          <w:szCs w:val="21"/>
        </w:rPr>
        <w:t xml:space="preserve">Founding Partner terms — pricing, exclusivity and advisory role.</w:t>
      </w:r>
    </w:p>
    <w:p>
      <w:pPr>
        <w:pStyle w:val="Heading2"/>
        <w:spacing w:after="90" w:before="220"/>
      </w:pPr>
      <w:r>
        <w:rPr>
          <w:rFonts w:ascii="Georgia" w:cs="Georgia" w:eastAsia="Georgia" w:hAnsi="Georgia"/>
          <w:b/>
          <w:bCs/>
          <w:color w:val="44546A"/>
          <w:sz w:val="24"/>
          <w:szCs w:val="24"/>
        </w:rPr>
        <w:t xml:space="preserve">E. Website preview</w:t>
      </w:r>
    </w:p>
    <w:p>
      <w:pPr>
        <w:spacing w:after="120" w:line="276"/>
      </w:pPr>
      <w:r>
        <w:rPr>
          <w:rFonts w:ascii="Georgia" w:cs="Georgia" w:eastAsia="Georgia" w:hAnsi="Georgia"/>
          <w:color w:val="222222"/>
          <w:sz w:val="21"/>
          <w:szCs w:val="21"/>
        </w:rPr>
        <w:t xml:space="preserve">A private website preview was produced for review, with desktop, tablet and mobile views of all five pages. It is a visual approval prototype only and is not publicly accessible.</w:t>
      </w:r>
    </w:p>
    <w:p>
      <w:pPr>
        <w:pStyle w:val="Heading2"/>
        <w:spacing w:after="90" w:before="220"/>
      </w:pPr>
      <w:r>
        <w:rPr>
          <w:rFonts w:ascii="Georgia" w:cs="Georgia" w:eastAsia="Georgia" w:hAnsi="Georgia"/>
          <w:b/>
          <w:bCs/>
          <w:color w:val="44546A"/>
          <w:sz w:val="24"/>
          <w:szCs w:val="24"/>
        </w:rPr>
        <w:t xml:space="preserve">F. Supporting materials</w:t>
      </w:r>
    </w:p>
    <w:p>
      <w:pPr>
        <w:pStyle w:val="ListParagraph"/>
        <w:numPr>
          <w:ilvl w:val="0"/>
          <w:numId w:val="2"/>
        </w:numPr>
        <w:spacing w:after="60" w:line="268"/>
      </w:pPr>
      <w:r>
        <w:rPr>
          <w:rFonts w:ascii="Georgia" w:cs="Georgia" w:eastAsia="Georgia" w:hAnsi="Georgia"/>
          <w:color w:val="222222"/>
          <w:sz w:val="21"/>
          <w:szCs w:val="21"/>
        </w:rPr>
        <w:t xml:space="preserve">Business Assessment Summary — Venuewise Internal Transformation Assessment.</w:t>
      </w:r>
    </w:p>
    <w:p>
      <w:pPr>
        <w:pStyle w:val="ListParagraph"/>
        <w:numPr>
          <w:ilvl w:val="0"/>
          <w:numId w:val="2"/>
        </w:numPr>
        <w:spacing w:after="60" w:line="268"/>
      </w:pPr>
      <w:r>
        <w:rPr>
          <w:rFonts w:ascii="Georgia" w:cs="Georgia" w:eastAsia="Georgia" w:hAnsi="Georgia"/>
          <w:color w:val="222222"/>
          <w:sz w:val="21"/>
          <w:szCs w:val="21"/>
        </w:rPr>
        <w:t xml:space="preserve">Capability &amp; Platform Review — Venuewise capability and platform inventory.</w:t>
      </w:r>
    </w:p>
    <w:p>
      <w:pPr>
        <w:pStyle w:val="ListParagraph"/>
        <w:numPr>
          <w:ilvl w:val="0"/>
          <w:numId w:val="2"/>
        </w:numPr>
        <w:spacing w:after="60" w:line="268"/>
      </w:pPr>
      <w:r>
        <w:rPr>
          <w:rFonts w:ascii="Georgia" w:cs="Georgia" w:eastAsia="Georgia" w:hAnsi="Georgia"/>
          <w:color w:val="222222"/>
          <w:sz w:val="21"/>
          <w:szCs w:val="21"/>
        </w:rPr>
        <w:t xml:space="preserve">Reference Blueprint &amp; 90-Day Plan — Venuewise transformation blueprint.</w:t>
      </w:r>
    </w:p>
    <w:p>
      <w:pPr>
        <w:pStyle w:val="ListParagraph"/>
        <w:numPr>
          <w:ilvl w:val="0"/>
          <w:numId w:val="2"/>
        </w:numPr>
        <w:spacing w:after="60" w:line="268"/>
      </w:pPr>
      <w:r>
        <w:rPr>
          <w:rFonts w:ascii="Georgia" w:cs="Georgia" w:eastAsia="Georgia" w:hAnsi="Georgia"/>
          <w:color w:val="222222"/>
          <w:sz w:val="21"/>
          <w:szCs w:val="21"/>
        </w:rPr>
        <w:t xml:space="preserve">Website Preview (Version 1).</w:t>
      </w:r>
    </w:p>
    <w:p>
      <w:pPr>
        <w:pStyle w:val="ListParagraph"/>
        <w:numPr>
          <w:ilvl w:val="0"/>
          <w:numId w:val="2"/>
        </w:numPr>
        <w:spacing w:after="60" w:line="268"/>
      </w:pPr>
      <w:r>
        <w:rPr>
          <w:rFonts w:ascii="Georgia" w:cs="Georgia" w:eastAsia="Georgia" w:hAnsi="Georgia"/>
          <w:color w:val="222222"/>
          <w:sz w:val="21"/>
          <w:szCs w:val="21"/>
        </w:rPr>
        <w:t xml:space="preserve">Transformation Intelligence Dossier — the engagement record for Venuewise.</w:t>
      </w:r>
    </w:p>
    <w:p>
      <w:pPr>
        <w:pStyle w:val="Heading2"/>
        <w:spacing w:after="90" w:before="220"/>
      </w:pPr>
      <w:r>
        <w:rPr>
          <w:rFonts w:ascii="Georgia" w:cs="Georgia" w:eastAsia="Georgia" w:hAnsi="Georgia"/>
          <w:b/>
          <w:bCs/>
          <w:color w:val="44546A"/>
          <w:sz w:val="24"/>
          <w:szCs w:val="24"/>
        </w:rPr>
        <w:t xml:space="preserve">G. Notes on method</w:t>
      </w:r>
    </w:p>
    <w:p>
      <w:pPr>
        <w:spacing w:after="120" w:line="276"/>
      </w:pPr>
      <w:r>
        <w:rPr>
          <w:rFonts w:ascii="Georgia" w:cs="Georgia" w:eastAsia="Georgia" w:hAnsi="Georgia"/>
          <w:color w:val="222222"/>
          <w:sz w:val="21"/>
          <w:szCs w:val="21"/>
        </w:rPr>
        <w:t xml:space="preserve">Throughout the assessment, verified facts, inferences and recommendations are distinguished. External market baselines are recorded as not-yet-measured pending a live scan. All commercial terms remain to be confirmed rather than assumed, and no partnership, metric, price or outcome has been invented to complete a section.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DC" w:sz="4" w:space="4"/>
      </w:pBdr>
      <w:spacing w:before="60"/>
      <w:jc w:val="center"/>
    </w:pPr>
    <w:r>
      <w:rPr>
        <w:rFonts w:ascii="Georgia" w:cs="Georgia" w:eastAsia="Georgia" w:hAnsi="Georgia"/>
        <w:color w:val="6B7280"/>
        <w:sz w:val="15"/>
        <w:szCs w:val="15"/>
      </w:rPr>
      <w:t xml:space="preserve">Herman Legacy Digital · Business Transformation Engine · Confidential — Page </w:t>
    </w:r>
    <w:r>
      <w:rPr>
        <w:rFonts w:ascii="Georgia" w:cs="Georgia" w:eastAsia="Georgia" w:hAnsi="Georgia"/>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C" w:sz="4" w:space="4"/>
      </w:pBdr>
      <w:spacing w:after="0"/>
      <w:jc w:val="right"/>
    </w:pPr>
    <w:r>
      <w:rPr>
        <w:rFonts w:ascii="Georgia" w:cs="Georgia" w:eastAsia="Georgia" w:hAnsi="Georgia"/>
        <w:i/>
        <w:iCs/>
        <w:color w:val="6B7280"/>
        <w:sz w:val="16"/>
        <w:szCs w:val="16"/>
      </w:rPr>
      <w:t xml:space="preserve">Venuewise — Business Transformation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E7D5B"/>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1F3A5F"/>
      <w:sz w:val="30"/>
      <w:szCs w:val="30"/>
    </w:rPr>
  </w:style>
  <w:style w:type="paragraph" w:styleId="Heading2">
    <w:name w:val="Heading 2"/>
    <w:basedOn w:val="Normal"/>
    <w:next w:val="Normal"/>
    <w:qFormat/>
    <w:rPr>
      <w:rFonts w:ascii="Georgia" w:cs="Georgia" w:eastAsia="Georgia" w:hAnsi="Georgia"/>
      <w:b/>
      <w:bCs/>
      <w:color w:val="44546A"/>
      <w:sz w:val="24"/>
      <w:szCs w:val="24"/>
    </w:rPr>
  </w:style>
  <w:style w:type="paragraph" w:styleId="Heading3">
    <w:name w:val="Heading 3"/>
    <w:basedOn w:val="Normal"/>
    <w:next w:val="Normal"/>
    <w:qFormat/>
    <w:rPr>
      <w:rFonts w:ascii="Georgia" w:cs="Georgia" w:eastAsia="Georgia" w:hAnsi="Georgia"/>
      <w:b/>
      <w:bCs/>
      <w:color w:val="2E7D5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Venuewise Business Transformation Report</dc:title>
  <dc:creator>Herman Legacy Digital — Business Transformation Engine</dc:creator>
  <dc:description>Executive assembly of the completed Venuewise transformation engagement.</dc:description>
  <cp:lastModifiedBy>Un-named</cp:lastModifiedBy>
  <cp:revision>1</cp:revision>
  <dcterms:created xsi:type="dcterms:W3CDTF">2026-08-05T01:57:02.185Z</dcterms:created>
  <dcterms:modified xsi:type="dcterms:W3CDTF">2026-08-05T01:57:02.207Z</dcterms:modified>
</cp:coreProperties>
</file>

<file path=docProps/custom.xml><?xml version="1.0" encoding="utf-8"?>
<Properties xmlns="http://schemas.openxmlformats.org/officeDocument/2006/custom-properties" xmlns:vt="http://schemas.openxmlformats.org/officeDocument/2006/docPropsVTypes"/>
</file>