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auto" w:sz="0"/>
              <w:left w:val="none" w:color="auto" w:sz="0"/>
              <w:bottom w:val="none" w:color="auto" w:sz="0"/>
              <w:right w:val="none" w:color="auto" w:sz="0"/>
            </w:tcBorders>
            <w:shd w:fill="2E5FA3" w:val="clear"/>
          </w:tcPr>
          <w:p/>
        </w:tc>
        <w:tc>
          <w:tcPr>
            <w:tcW w:type="dxa" w:w="9080"/>
            <w:tcBorders>
              <w:top w:val="none" w:color="auto" w:sz="0"/>
              <w:left w:val="none" w:color="auto" w:sz="0"/>
              <w:bottom w:val="none" w:color="auto" w:sz="0"/>
              <w:right w:val="none" w:color="auto" w:sz="0"/>
            </w:tcBorders>
            <w:shd w:fill="FFFFFF" w:val="clear"/>
            <w:tcMar>
              <w:top w:type="dxa" w:w="80"/>
              <w:left w:type="dxa" w:w="240"/>
              <w:bottom w:type="dxa" w:w="80"/>
              <w:right w:type="dxa" w:w="0"/>
            </w:tcMar>
          </w:tcPr>
          <w:p>
            <w:pPr>
              <w:spacing w:before="0" w:after="80"/>
            </w:pPr>
            <w:r>
              <w:rPr>
                <w:rFonts w:ascii="Arial" w:cs="Arial" w:eastAsia="Arial" w:hAnsi="Arial"/>
                <w:b/>
                <w:bCs/>
                <w:caps/>
                <w:color w:val="5A6475"/>
                <w:sz w:val="18"/>
                <w:szCs w:val="18"/>
              </w:rPr>
              <w:t xml:space="preserve">LXD ADVISORY</w:t>
            </w:r>
          </w:p>
          <w:p>
            <w:pPr>
              <w:spacing w:before="0" w:after="0"/>
            </w:pPr>
            <w:r>
              <w:rPr>
                <w:rFonts w:ascii="Arial" w:cs="Arial" w:eastAsia="Arial" w:hAnsi="Arial"/>
                <w:color w:val="5A6475"/>
                <w:sz w:val="18"/>
                <w:szCs w:val="18"/>
              </w:rPr>
              <w:t xml:space="preserve">Technical Compliance Architecture Practice</w:t>
            </w:r>
          </w:p>
        </w:tc>
      </w:tr>
    </w:tbl>
    <w:p>
      <w:pPr>
        <w:spacing w:before="0" w:after="400"/>
      </w:pPr>
    </w:p>
    <w:p>
      <w:pPr>
        <w:spacing w:before="0" w:after="160"/>
      </w:pPr>
      <w:r>
        <w:rPr>
          <w:rFonts w:ascii="Arial" w:cs="Arial" w:eastAsia="Arial" w:hAnsi="Arial"/>
          <w:b/>
          <w:bCs/>
          <w:caps/>
          <w:color w:val="1B2A4A"/>
          <w:sz w:val="52"/>
          <w:szCs w:val="52"/>
        </w:rPr>
        <w:t xml:space="preserve">FORMAL TECHNICAL FILE</w:t>
      </w:r>
    </w:p>
    <w:p>
      <w:pPr>
        <w:spacing w:before="0" w:after="200"/>
      </w:pPr>
      <w:r>
        <w:rPr>
          <w:rFonts w:ascii="Arial" w:cs="Arial" w:eastAsia="Arial" w:hAnsi="Arial"/>
          <w:color w:val="2E5FA3"/>
          <w:sz w:val="28"/>
          <w:szCs w:val="28"/>
        </w:rPr>
        <w:t xml:space="preserve">EU Artificial Intelligence Act — Article 12 Compliance Assessment</w:t>
      </w:r>
    </w:p>
    <w:p>
      <w:pPr>
        <w:pBdr>
          <w:bottom w:val="single" w:color="2E5FA3" w:sz="8" w:space="1"/>
        </w:pBdr>
        <w:spacing w:before="0" w:after="80"/>
      </w:pPr>
    </w:p>
    <w:p>
      <w:pPr>
        <w:spacing w:before="0" w:after="240"/>
      </w:pPr>
    </w:p>
    <w:p>
      <w:pPr>
        <w:spacing w:before="0" w:after="100"/>
      </w:pPr>
      <w:r>
        <w:rPr>
          <w:rFonts w:ascii="Arial" w:cs="Arial" w:eastAsia="Arial" w:hAnsi="Arial"/>
          <w:b/>
          <w:bCs/>
          <w:color w:val="5A6475"/>
          <w:sz w:val="22"/>
          <w:szCs w:val="22"/>
        </w:rPr>
        <w:t xml:space="preserve">Subject System:</w:t>
      </w:r>
    </w:p>
    <w:p>
      <w:pPr>
        <w:spacing w:before="0" w:after="200"/>
      </w:pPr>
      <w:r>
        <w:rPr>
          <w:rFonts w:ascii="Arial" w:cs="Arial" w:eastAsia="Arial" w:hAnsi="Arial"/>
          <w:b/>
          <w:bCs/>
          <w:color w:val="1B2A4A"/>
          <w:sz w:val="26"/>
          <w:szCs w:val="26"/>
        </w:rPr>
        <w:t xml:space="preserve">SDV-PERCEPT-7 | Software-Defined Vehicle Perception AI System</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Document Classification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CONFIDENTIAL — RESTRICTED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Document Reference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LXD-TF-2026-SDV-0047</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Audit Report Version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v1.0 — INITIAL RELEASE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Regulatory Framework</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Regulation (EU) 2024/1689 — EU AI Act, Article 12</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Applicable Standards</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ISO 26262:2018 (ASIL-D), ASPICE v4.0, ISO/SAE 21434:2021</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Audit Date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28 February 2026</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Lead Regulatory Auditor</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LXD Advisory — Technical Compliance Architect</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Audit Scope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S3 Immutable Vault: lxd-sdv-audit-prod-euc1 | Partition: 2026/02/</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Retention Classification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10-Year WORM — S3 Object Lock COMPLIANCE Mode</w:t>
            </w:r>
          </w:p>
        </w:tc>
      </w:tr>
    </w:tbl>
    <w:p>
      <w:pPr>
        <w:spacing w:before="0" w:after="300"/>
      </w:pPr>
    </w:p>
    <w:p>
      <w:pPr>
        <w:spacing w:before="0" w:after="100"/>
      </w:pPr>
      <w:r>
        <w:rPr>
          <w:rFonts w:ascii="Arial" w:cs="Arial" w:eastAsia="Arial" w:hAnsi="Arial"/>
          <w:b/>
          <w:bCs/>
          <w:caps/>
          <w:color w:val="5A6475"/>
          <w:sz w:val="22"/>
          <w:szCs w:val="22"/>
        </w:rPr>
        <w:t xml:space="preserve">OVERALL COMPLIANCE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auto" w:sz="0"/>
              <w:left w:val="none" w:color="auto" w:sz="0"/>
              <w:bottom w:val="none" w:color="auto" w:sz="0"/>
              <w:right w:val="none" w:color="auto" w:sz="0"/>
            </w:tcBorders>
            <w:shd w:fill="D68910"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CONDITIONAL PASS</w:t>
            </w:r>
          </w:p>
        </w:tc>
        <w:tc>
          <w:tcPr>
            <w:tcW w:type="dxa" w:w="7160"/>
            <w:tcBorders>
              <w:top w:val="none" w:color="auto" w:sz="0"/>
              <w:left w:val="none" w:color="auto" w:sz="0"/>
              <w:bottom w:val="none" w:color="auto" w:sz="0"/>
              <w:right w:val="none" w:color="auto" w:sz="0"/>
            </w:tcBorders>
            <w:shd w:fill="F2F4F8" w:val="clear"/>
            <w:tcMar>
              <w:top w:type="dxa" w:w="80"/>
              <w:left w:type="dxa" w:w="200"/>
              <w:bottom w:type="dxa" w:w="80"/>
              <w:right w:type="dxa" w:w="160"/>
            </w:tcMar>
          </w:tcPr>
          <w:p>
            <w:r>
              <w:rPr>
                <w:rFonts w:ascii="Arial" w:cs="Arial" w:eastAsia="Arial" w:hAnsi="Arial"/>
                <w:color w:val="0D0D0D"/>
                <w:sz w:val="22"/>
                <w:szCs w:val="22"/>
              </w:rPr>
              <w:t xml:space="preserve">System demonstrates substantive Article 12 compliance. Three (3) Compliance Gaps require remediation within 30 days. System may continue operating under enhanced monitoring per deployer risk management obligations (AI Act Art. 26).</w:t>
            </w:r>
          </w:p>
        </w:tc>
      </w:tr>
    </w:tbl>
    <w:p>
      <w:pPr>
        <w:spacing w:before="0" w:after="400"/>
      </w:pPr>
    </w:p>
    <w:p>
      <w:pPr>
        <w:spacing w:before="0" w:after="0"/>
        <w:jc w:val="left"/>
      </w:pPr>
      <w:r>
        <w:rPr>
          <w:rFonts w:ascii="Arial" w:cs="Arial" w:eastAsia="Arial" w:hAnsi="Arial"/>
          <w:i/>
          <w:iCs/>
          <w:color w:val="5A6475"/>
          <w:sz w:val="18"/>
          <w:szCs w:val="18"/>
        </w:rPr>
        <w:t xml:space="preserve">This document constitutes a formal Technical File as required under Article 12 and Annex IV of Regulation (EU) 2024/1689 (EU AI Act). It is admissible as evidence in conformity assessment proceedings before a Notified Body.</w:t>
      </w:r>
    </w:p>
    <w:p>
      <w:r>
        <w:br w:type="page"/>
      </w:r>
    </w:p>
    <w:p>
      <w:pPr>
        <w:pStyle w:val="Heading1"/>
        <w:spacing w:before="360" w:after="120"/>
      </w:pPr>
      <w:r>
        <w:rPr>
          <w:rFonts w:ascii="Arial" w:cs="Arial" w:eastAsia="Arial" w:hAnsi="Arial"/>
          <w:b/>
          <w:bCs/>
          <w:color w:val="1B2A4A"/>
          <w:sz w:val="36"/>
          <w:szCs w:val="36"/>
        </w:rPr>
        <w:t xml:space="preserve">Section 1 — Executive Summary</w:t>
      </w:r>
    </w:p>
    <w:p>
      <w:pPr>
        <w:pBdr>
          <w:bottom w:val="single" w:color="2E5FA3" w:sz="8" w:space="1"/>
        </w:pBdr>
        <w:spacing w:before="0" w:after="80"/>
      </w:pPr>
    </w:p>
    <w:p>
      <w:pPr>
        <w:spacing w:before="0" w:after="80"/>
      </w:pPr>
    </w:p>
    <w:p>
      <w:pPr>
        <w:pStyle w:val="Heading2"/>
        <w:spacing w:before="280" w:after="100"/>
      </w:pPr>
      <w:r>
        <w:rPr>
          <w:rFonts w:ascii="Arial" w:cs="Arial" w:eastAsia="Arial" w:hAnsi="Arial"/>
          <w:b/>
          <w:bCs/>
          <w:color w:val="2E5FA3"/>
          <w:sz w:val="28"/>
          <w:szCs w:val="28"/>
        </w:rPr>
        <w:t xml:space="preserve">1.1  Audit Mandate &amp; Scope</w:t>
      </w:r>
    </w:p>
    <w:p>
      <w:pPr>
        <w:spacing w:before="60" w:after="100"/>
      </w:pPr>
      <w:r>
        <w:rPr>
          <w:rFonts w:ascii="Arial" w:cs="Arial" w:eastAsia="Arial" w:hAnsi="Arial"/>
          <w:color w:val="0D0D0D"/>
          <w:sz w:val="22"/>
          <w:szCs w:val="22"/>
        </w:rPr>
        <w:t xml:space="preserve">This Technical File has been prepared by the LXD Advisory Technical Compliance Architecture Practice pursuant to </w:t>
      </w:r>
      <w:r>
        <w:rPr>
          <w:rFonts w:ascii="Arial" w:cs="Arial" w:eastAsia="Arial" w:hAnsi="Arial"/>
          <w:b/>
          <w:bCs/>
          <w:color w:val="0D0D0D"/>
          <w:sz w:val="22"/>
          <w:szCs w:val="22"/>
        </w:rPr>
        <w:t xml:space="preserve">Article 12 (Record-Keeping) of Regulation (EU) 2024/1689</w:t>
      </w:r>
      <w:r>
        <w:rPr>
          <w:rFonts w:ascii="Arial" w:cs="Arial" w:eastAsia="Arial" w:hAnsi="Arial"/>
          <w:color w:val="0D0D0D"/>
          <w:sz w:val="22"/>
          <w:szCs w:val="22"/>
        </w:rPr>
        <w:t xml:space="preserve"> (hereafter, the "EU AI Act") and in accordance with the technical documentation requirements set forth in </w:t>
      </w:r>
      <w:r>
        <w:rPr>
          <w:rFonts w:ascii="Arial" w:cs="Arial" w:eastAsia="Arial" w:hAnsi="Arial"/>
          <w:b/>
          <w:bCs/>
          <w:color w:val="0D0D0D"/>
          <w:sz w:val="22"/>
          <w:szCs w:val="22"/>
        </w:rPr>
        <w:t xml:space="preserve">Annex IV</w:t>
      </w:r>
      <w:r>
        <w:rPr>
          <w:rFonts w:ascii="Arial" w:cs="Arial" w:eastAsia="Arial" w:hAnsi="Arial"/>
          <w:color w:val="0D0D0D"/>
          <w:sz w:val="22"/>
          <w:szCs w:val="22"/>
        </w:rPr>
        <w:t xml:space="preserve"> thereof. The subject system, designated </w:t>
      </w:r>
      <w:r>
        <w:rPr>
          <w:rFonts w:ascii="Arial" w:cs="Arial" w:eastAsia="Arial" w:hAnsi="Arial"/>
          <w:b/>
          <w:bCs/>
          <w:color w:val="0D0D0D"/>
          <w:sz w:val="22"/>
          <w:szCs w:val="22"/>
        </w:rPr>
        <w:t xml:space="preserve">SDV-PERCEPT-7</w:t>
      </w:r>
      <w:r>
        <w:rPr>
          <w:rFonts w:ascii="Arial" w:cs="Arial" w:eastAsia="Arial" w:hAnsi="Arial"/>
          <w:color w:val="0D0D0D"/>
          <w:sz w:val="22"/>
          <w:szCs w:val="22"/>
        </w:rPr>
        <w:t xml:space="preserve">, is a high-risk AI system as defined under </w:t>
      </w:r>
      <w:r>
        <w:rPr>
          <w:rFonts w:ascii="Arial" w:cs="Arial" w:eastAsia="Arial" w:hAnsi="Arial"/>
          <w:b/>
          <w:bCs/>
          <w:color w:val="0D0D0D"/>
          <w:sz w:val="22"/>
          <w:szCs w:val="22"/>
        </w:rPr>
        <w:t xml:space="preserve">Annex III, Point 3(b)</w:t>
      </w:r>
      <w:r>
        <w:rPr>
          <w:rFonts w:ascii="Arial" w:cs="Arial" w:eastAsia="Arial" w:hAnsi="Arial"/>
          <w:color w:val="0D0D0D"/>
          <w:sz w:val="22"/>
          <w:szCs w:val="22"/>
        </w:rPr>
        <w:t xml:space="preserve"> of the EU AI Act (AI systems used in safety components of products covered by Union harmonisation legislation in the road transport sector). The system is further classified at </w:t>
      </w:r>
      <w:r>
        <w:rPr>
          <w:rFonts w:ascii="Arial" w:cs="Arial" w:eastAsia="Arial" w:hAnsi="Arial"/>
          <w:b/>
          <w:bCs/>
          <w:color w:val="0D0D0D"/>
          <w:sz w:val="22"/>
          <w:szCs w:val="22"/>
        </w:rPr>
        <w:t xml:space="preserve">ASIL-D (Automotive Safety Integrity Level D)</w:t>
      </w:r>
      <w:r>
        <w:rPr>
          <w:rFonts w:ascii="Arial" w:cs="Arial" w:eastAsia="Arial" w:hAnsi="Arial"/>
          <w:color w:val="0D0D0D"/>
          <w:sz w:val="22"/>
          <w:szCs w:val="22"/>
        </w:rPr>
        <w:t xml:space="preserve"> under ISO 26262:2018 and is subject to a completed conformity assessment under Article 43.</w:t>
      </w:r>
    </w:p>
    <w:p>
      <w:pPr>
        <w:spacing w:before="0" w:after="80"/>
      </w:pPr>
    </w:p>
    <w:p>
      <w:pPr>
        <w:spacing w:before="60" w:after="100"/>
      </w:pPr>
      <w:r>
        <w:rPr>
          <w:rFonts w:ascii="Arial" w:cs="Arial" w:eastAsia="Arial" w:hAnsi="Arial"/>
          <w:color w:val="0D0D0D"/>
          <w:sz w:val="22"/>
          <w:szCs w:val="22"/>
        </w:rPr>
        <w:t xml:space="preserve">This audit reviewed telemetry logs persisted in the </w:t>
      </w:r>
      <w:r>
        <w:rPr>
          <w:rFonts w:ascii="Arial" w:cs="Arial" w:eastAsia="Arial" w:hAnsi="Arial"/>
          <w:b/>
          <w:bCs/>
          <w:color w:val="0D0D0D"/>
          <w:sz w:val="22"/>
          <w:szCs w:val="22"/>
        </w:rPr>
        <w:t xml:space="preserve">AWS S3 Immutable Vault</w:t>
      </w:r>
      <w:r>
        <w:rPr>
          <w:rFonts w:ascii="Arial" w:cs="Arial" w:eastAsia="Arial" w:hAnsi="Arial"/>
          <w:color w:val="0D0D0D"/>
          <w:sz w:val="22"/>
          <w:szCs w:val="22"/>
        </w:rPr>
        <w:t xml:space="preserve"> (bucket: </w:t>
      </w:r>
      <w:r>
        <w:rPr>
          <w:rFonts w:ascii="Courier New" w:cs="Courier New" w:eastAsia="Courier New" w:hAnsi="Courier New"/>
          <w:color w:val="5A6475"/>
          <w:sz w:val="18"/>
          <w:szCs w:val="18"/>
        </w:rPr>
        <w:t xml:space="preserve">lxd-sdv-audit-prod-euc1</w:t>
      </w:r>
      <w:r>
        <w:rPr>
          <w:rFonts w:ascii="Arial" w:cs="Arial" w:eastAsia="Arial" w:hAnsi="Arial"/>
          <w:color w:val="0D0D0D"/>
          <w:sz w:val="22"/>
          <w:szCs w:val="22"/>
        </w:rPr>
        <w:t xml:space="preserve">, region: </w:t>
      </w:r>
      <w:r>
        <w:rPr>
          <w:rFonts w:ascii="Courier New" w:cs="Courier New" w:eastAsia="Courier New" w:hAnsi="Courier New"/>
          <w:color w:val="5A6475"/>
          <w:sz w:val="18"/>
          <w:szCs w:val="18"/>
        </w:rPr>
        <w:t xml:space="preserve">eu-central-1</w:t>
      </w:r>
      <w:r>
        <w:rPr>
          <w:rFonts w:ascii="Arial" w:cs="Arial" w:eastAsia="Arial" w:hAnsi="Arial"/>
          <w:color w:val="0D0D0D"/>
          <w:sz w:val="22"/>
          <w:szCs w:val="22"/>
        </w:rPr>
        <w:t xml:space="preserve">) for the operational window </w:t>
      </w:r>
      <w:r>
        <w:rPr>
          <w:rFonts w:ascii="Arial" w:cs="Arial" w:eastAsia="Arial" w:hAnsi="Arial"/>
          <w:b/>
          <w:bCs/>
          <w:color w:val="0D0D0D"/>
          <w:sz w:val="22"/>
          <w:szCs w:val="22"/>
        </w:rPr>
        <w:t xml:space="preserve">01 February 2026 00:00:00Z — 28 February 2026 23:59:59Z</w:t>
      </w:r>
      <w:r>
        <w:rPr>
          <w:rFonts w:ascii="Arial" w:cs="Arial" w:eastAsia="Arial" w:hAnsi="Arial"/>
          <w:color w:val="0D0D0D"/>
          <w:sz w:val="22"/>
          <w:szCs w:val="22"/>
        </w:rPr>
        <w:t xml:space="preserve">. Log ingestion was performed by the LXD Lambda Transformation Layer (ARN: </w:t>
      </w:r>
      <w:r>
        <w:rPr>
          <w:rFonts w:ascii="Courier New" w:cs="Courier New" w:eastAsia="Courier New" w:hAnsi="Courier New"/>
          <w:color w:val="5A6475"/>
          <w:sz w:val="18"/>
          <w:szCs w:val="18"/>
        </w:rPr>
        <w:t xml:space="preserve">arn:aws:lambda:eu-central-1:448291057834:function:lxd-sdv-art12-ingest:v4</w:t>
      </w:r>
      <w:r>
        <w:rPr>
          <w:rFonts w:ascii="Arial" w:cs="Arial" w:eastAsia="Arial" w:hAnsi="Arial"/>
          <w:color w:val="0D0D0D"/>
          <w:sz w:val="22"/>
          <w:szCs w:val="22"/>
        </w:rPr>
        <w:t xml:space="preserve">). A total of </w:t>
      </w:r>
      <w:r>
        <w:rPr>
          <w:rFonts w:ascii="Arial" w:cs="Arial" w:eastAsia="Arial" w:hAnsi="Arial"/>
          <w:b/>
          <w:bCs/>
          <w:color w:val="0D0D0D"/>
          <w:sz w:val="22"/>
          <w:szCs w:val="22"/>
        </w:rPr>
        <w:t xml:space="preserve">147,293 log records</w:t>
      </w:r>
      <w:r>
        <w:rPr>
          <w:rFonts w:ascii="Arial" w:cs="Arial" w:eastAsia="Arial" w:hAnsi="Arial"/>
          <w:color w:val="0D0D0D"/>
          <w:sz w:val="22"/>
          <w:szCs w:val="22"/>
        </w:rPr>
        <w:t xml:space="preserve"> were reviewed. Audit sampling methodology is compliant with ASPICE v4.0 SYS.5 and ISO 26262-4:2018 §7.</w:t>
      </w:r>
    </w:p>
    <w:p>
      <w:pPr>
        <w:spacing w:before="0" w:after="80"/>
      </w:pPr>
    </w:p>
    <w:p>
      <w:pPr>
        <w:pStyle w:val="Heading2"/>
        <w:spacing w:before="280" w:after="100"/>
      </w:pPr>
      <w:r>
        <w:rPr>
          <w:rFonts w:ascii="Arial" w:cs="Arial" w:eastAsia="Arial" w:hAnsi="Arial"/>
          <w:b/>
          <w:bCs/>
          <w:color w:val="2E5FA3"/>
          <w:sz w:val="28"/>
          <w:szCs w:val="28"/>
        </w:rPr>
        <w:t xml:space="preserve">1.2  System Under Audit — Identity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System Designation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SDV-PERCEPT-7</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System UUID</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f3a92c1d-7b4e-4f88-a3d1-0c8b5e6d9f02</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EU AI Act Database ID</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EU-AIDB-2025-07-00489-HR</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Risk Classification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HIGH RISK — Annex III, Point 3(b)</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Functional Safety Class</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ISO 26262 ASIL-D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Cybersecurity Standard</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ISO/SAE 21434:2021</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ASPICE Process Capability</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Level 3 (Established Process) — Assessed 2025-11</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Model Weights Version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percept-7.weights.v2.1.4-stable</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Inference API Version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api/v3.1.0</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Pipeline Version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sdv-pipeline-release-2025-11-08</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Notified Body Certificate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NB-DE-0489 / CERT-2025-SDV-4421-HR</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Deployer Entity</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AutoDrive GmbH, Frankfurt am Main, DE</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Deployer UUID</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9d1b7e3a-2f0c-4e55-b8a7-1c3d5f4e2b09</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Operational Jurisdiction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EU — DE (Primary); FR, NL (Secondary)</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AWS Processing Region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eu-central-1 (Frankfurt)</w:t>
            </w:r>
          </w:p>
        </w:tc>
      </w:tr>
    </w:tbl>
    <w:p>
      <w:pPr>
        <w:spacing w:before="0" w:after="80"/>
      </w:pPr>
    </w:p>
    <w:p>
      <w:pPr>
        <w:pStyle w:val="Heading2"/>
        <w:spacing w:before="280" w:after="100"/>
      </w:pPr>
      <w:r>
        <w:rPr>
          <w:rFonts w:ascii="Arial" w:cs="Arial" w:eastAsia="Arial" w:hAnsi="Arial"/>
          <w:b/>
          <w:bCs/>
          <w:color w:val="2E5FA3"/>
          <w:sz w:val="28"/>
          <w:szCs w:val="28"/>
        </w:rPr>
        <w:t xml:space="preserve">1.3  Compliance Verdict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auto" w:sz="0"/>
              <w:left w:val="none" w:color="auto" w:sz="0"/>
              <w:bottom w:val="none" w:color="auto" w:sz="0"/>
              <w:right w:val="none" w:color="auto" w:sz="0"/>
            </w:tcBorders>
            <w:shd w:fill="D68910"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OVERALL</w:t>
            </w:r>
          </w:p>
        </w:tc>
        <w:tc>
          <w:tcPr>
            <w:tcW w:type="dxa" w:w="7160"/>
            <w:tcBorders>
              <w:top w:val="none" w:color="auto" w:sz="0"/>
              <w:left w:val="none" w:color="auto" w:sz="0"/>
              <w:bottom w:val="none" w:color="auto" w:sz="0"/>
              <w:right w:val="none" w:color="auto" w:sz="0"/>
            </w:tcBorders>
            <w:shd w:fill="F2F4F8" w:val="clear"/>
            <w:tcMar>
              <w:top w:type="dxa" w:w="80"/>
              <w:left w:type="dxa" w:w="200"/>
              <w:bottom w:type="dxa" w:w="80"/>
              <w:right w:type="dxa" w:w="160"/>
            </w:tcMar>
          </w:tcPr>
          <w:p>
            <w:r>
              <w:rPr>
                <w:rFonts w:ascii="Arial" w:cs="Arial" w:eastAsia="Arial" w:hAnsi="Arial"/>
                <w:color w:val="0D0D0D"/>
                <w:sz w:val="22"/>
                <w:szCs w:val="22"/>
              </w:rPr>
              <w:t xml:space="preserve">CONDITIONAL PASS — 3 Compliance Gaps Identified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auto" w:sz="0"/>
              <w:left w:val="none" w:color="auto" w:sz="0"/>
              <w:bottom w:val="none" w:color="auto" w:sz="0"/>
              <w:right w:val="none" w:color="auto" w:sz="0"/>
            </w:tcBorders>
            <w:shd w:fill="1E8449"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SECTION 2 — Traceability</w:t>
            </w:r>
          </w:p>
        </w:tc>
        <w:tc>
          <w:tcPr>
            <w:tcW w:type="dxa" w:w="7160"/>
            <w:tcBorders>
              <w:top w:val="none" w:color="auto" w:sz="0"/>
              <w:left w:val="none" w:color="auto" w:sz="0"/>
              <w:bottom w:val="none" w:color="auto" w:sz="0"/>
              <w:right w:val="none" w:color="auto" w:sz="0"/>
            </w:tcBorders>
            <w:shd w:fill="F2F4F8" w:val="clear"/>
            <w:tcMar>
              <w:top w:type="dxa" w:w="80"/>
              <w:left w:type="dxa" w:w="200"/>
              <w:bottom w:type="dxa" w:w="80"/>
              <w:right w:type="dxa" w:w="160"/>
            </w:tcMar>
          </w:tcPr>
          <w:p>
            <w:r>
              <w:rPr>
                <w:rFonts w:ascii="Arial" w:cs="Arial" w:eastAsia="Arial" w:hAnsi="Arial"/>
                <w:color w:val="0D0D0D"/>
                <w:sz w:val="22"/>
                <w:szCs w:val="22"/>
              </w:rPr>
              <w:t xml:space="preserve">PASS — Full version and timestamp traceability confirmed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auto" w:sz="0"/>
              <w:left w:val="none" w:color="auto" w:sz="0"/>
              <w:bottom w:val="none" w:color="auto" w:sz="0"/>
              <w:right w:val="none" w:color="auto" w:sz="0"/>
            </w:tcBorders>
            <w:shd w:fill="D68910"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SECTION 3 — Data Integrity</w:t>
            </w:r>
          </w:p>
        </w:tc>
        <w:tc>
          <w:tcPr>
            <w:tcW w:type="dxa" w:w="7160"/>
            <w:tcBorders>
              <w:top w:val="none" w:color="auto" w:sz="0"/>
              <w:left w:val="none" w:color="auto" w:sz="0"/>
              <w:bottom w:val="none" w:color="auto" w:sz="0"/>
              <w:right w:val="none" w:color="auto" w:sz="0"/>
            </w:tcBorders>
            <w:shd w:fill="F2F4F8" w:val="clear"/>
            <w:tcMar>
              <w:top w:type="dxa" w:w="80"/>
              <w:left w:type="dxa" w:w="200"/>
              <w:bottom w:type="dxa" w:w="80"/>
              <w:right w:type="dxa" w:w="160"/>
            </w:tcMar>
          </w:tcPr>
          <w:p>
            <w:r>
              <w:rPr>
                <w:rFonts w:ascii="Arial" w:cs="Arial" w:eastAsia="Arial" w:hAnsi="Arial"/>
                <w:color w:val="0D0D0D"/>
                <w:sz w:val="22"/>
                <w:szCs w:val="22"/>
              </w:rPr>
              <w:t xml:space="preserve">PASS WITH GAPS — SHA-256 validation confirmed; 1 missing hash field (CG-002)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auto" w:sz="0"/>
              <w:left w:val="none" w:color="auto" w:sz="0"/>
              <w:bottom w:val="none" w:color="auto" w:sz="0"/>
              <w:right w:val="none" w:color="auto" w:sz="0"/>
            </w:tcBorders>
            <w:shd w:fill="D68910"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SECTION 4 — Human Oversight</w:t>
            </w:r>
          </w:p>
        </w:tc>
        <w:tc>
          <w:tcPr>
            <w:tcW w:type="dxa" w:w="7160"/>
            <w:tcBorders>
              <w:top w:val="none" w:color="auto" w:sz="0"/>
              <w:left w:val="none" w:color="auto" w:sz="0"/>
              <w:bottom w:val="none" w:color="auto" w:sz="0"/>
              <w:right w:val="none" w:color="auto" w:sz="0"/>
            </w:tcBorders>
            <w:shd w:fill="F2F4F8" w:val="clear"/>
            <w:tcMar>
              <w:top w:type="dxa" w:w="80"/>
              <w:left w:type="dxa" w:w="200"/>
              <w:bottom w:type="dxa" w:w="80"/>
              <w:right w:type="dxa" w:w="160"/>
            </w:tcMar>
          </w:tcPr>
          <w:p>
            <w:r>
              <w:rPr>
                <w:rFonts w:ascii="Arial" w:cs="Arial" w:eastAsia="Arial" w:hAnsi="Arial"/>
                <w:color w:val="0D0D0D"/>
                <w:sz w:val="22"/>
                <w:szCs w:val="22"/>
              </w:rPr>
              <w:t xml:space="preserve">PASS WITH GAPS — Oversight chain logged; 2 gaps in reviewer identity (CG-001, CG-003)</w:t>
            </w:r>
          </w:p>
        </w:tc>
      </w:tr>
    </w:tbl>
    <w:p>
      <w:pPr>
        <w:spacing w:before="0" w:after="120"/>
      </w:pPr>
    </w:p>
    <w:p>
      <w:pPr>
        <w:spacing w:before="60" w:after="100"/>
      </w:pPr>
      <w:r>
        <w:rPr>
          <w:rFonts w:ascii="Arial" w:cs="Arial" w:eastAsia="Arial" w:hAnsi="Arial"/>
          <w:color w:val="0D0D0D"/>
          <w:sz w:val="22"/>
          <w:szCs w:val="22"/>
        </w:rPr>
        <w:t xml:space="preserve">The SDV-PERCEPT-7 system demonstrates substantive compliance with the record-keeping obligations of Article 12. The telemetry log architecture correctly implements mandatory logging of: (a) operational timestamps, (b) AI system version identifiers, (c) input data descriptors with cryptographic hashing, (d) decision outputs with confidence scores, and (e) human oversight state transitions. Three Compliance Gaps have been identified, none of which individually constitute a </w:t>
      </w:r>
      <w:r>
        <w:rPr>
          <w:rFonts w:ascii="Arial" w:cs="Arial" w:eastAsia="Arial" w:hAnsi="Arial"/>
          <w:b/>
          <w:bCs/>
          <w:color w:val="0D0D0D"/>
          <w:sz w:val="22"/>
          <w:szCs w:val="22"/>
        </w:rPr>
        <w:t xml:space="preserve">systemic failure</w:t>
      </w:r>
      <w:r>
        <w:rPr>
          <w:rFonts w:ascii="Arial" w:cs="Arial" w:eastAsia="Arial" w:hAnsi="Arial"/>
          <w:color w:val="0D0D0D"/>
          <w:sz w:val="22"/>
          <w:szCs w:val="22"/>
        </w:rPr>
        <w:t xml:space="preserve"> of the Article 12 framework, but which collectively require remediation within </w:t>
      </w:r>
      <w:r>
        <w:rPr>
          <w:rFonts w:ascii="Arial" w:cs="Arial" w:eastAsia="Arial" w:hAnsi="Arial"/>
          <w:b/>
          <w:bCs/>
          <w:color w:val="0D0D0D"/>
          <w:sz w:val="22"/>
          <w:szCs w:val="22"/>
        </w:rPr>
        <w:t xml:space="preserve">30 calendar days</w:t>
      </w:r>
      <w:r>
        <w:rPr>
          <w:rFonts w:ascii="Arial" w:cs="Arial" w:eastAsia="Arial" w:hAnsi="Arial"/>
          <w:color w:val="0D0D0D"/>
          <w:sz w:val="22"/>
          <w:szCs w:val="22"/>
        </w:rPr>
        <w:t xml:space="preserve"> to achieve unconditional conformity. Continued operation is permissible under deployer risk management obligations per </w:t>
      </w:r>
      <w:r>
        <w:rPr>
          <w:rFonts w:ascii="Arial" w:cs="Arial" w:eastAsia="Arial" w:hAnsi="Arial"/>
          <w:b/>
          <w:bCs/>
          <w:color w:val="0D0D0D"/>
          <w:sz w:val="22"/>
          <w:szCs w:val="22"/>
        </w:rPr>
        <w:t xml:space="preserve">Article 26(5)</w:t>
      </w:r>
      <w:r>
        <w:rPr>
          <w:rFonts w:ascii="Arial" w:cs="Arial" w:eastAsia="Arial" w:hAnsi="Arial"/>
          <w:color w:val="0D0D0D"/>
          <w:sz w:val="22"/>
          <w:szCs w:val="22"/>
        </w:rPr>
        <w:t xml:space="preserve"> of the EU AI Act, subject to heightened monitoring of the affected log fields.</w:t>
      </w:r>
    </w:p>
    <w:p>
      <w:pPr>
        <w:spacing w:before="0" w:after="80"/>
      </w:pPr>
    </w:p>
    <w:p>
      <w:pPr>
        <w:pStyle w:val="Heading2"/>
        <w:spacing w:before="280" w:after="100"/>
      </w:pPr>
      <w:r>
        <w:rPr>
          <w:rFonts w:ascii="Arial" w:cs="Arial" w:eastAsia="Arial" w:hAnsi="Arial"/>
          <w:b/>
          <w:bCs/>
          <w:color w:val="2E5FA3"/>
          <w:sz w:val="28"/>
          <w:szCs w:val="28"/>
        </w:rPr>
        <w:t xml:space="preserve">1.4  Applicable Regulatory &amp; Standards Framework</w:t>
      </w:r>
    </w:p>
    <w:p>
      <w:pPr>
        <w:spacing w:before="0" w:after="40"/>
      </w:pPr>
    </w:p>
    <w:p>
      <w:pPr>
        <w:spacing w:before="60" w:after="100"/>
      </w:pPr>
      <w:r>
        <w:rPr>
          <w:rFonts w:ascii="Arial" w:cs="Arial" w:eastAsia="Arial" w:hAnsi="Arial"/>
          <w:color w:val="0D0D0D"/>
          <w:sz w:val="22"/>
          <w:szCs w:val="22"/>
        </w:rPr>
        <w:t xml:space="preserve">This Technical File has been prepared against the following normative and informative references:</w:t>
      </w:r>
    </w:p>
    <w:p>
      <w:pPr>
        <w:spacing w:before="0" w:after="40"/>
      </w:pPr>
    </w:p>
    <w:p>
      <w:pPr>
        <w:pStyle w:val="ListParagraph"/>
        <w:numPr>
          <w:ilvl w:val="0"/>
          <w:numId w:val="2"/>
        </w:numPr>
        <w:spacing w:before="40" w:after="40"/>
      </w:pPr>
      <w:r>
        <w:rPr>
          <w:rFonts w:ascii="Arial" w:cs="Arial" w:eastAsia="Arial" w:hAnsi="Arial"/>
          <w:color w:val="0D0D0D"/>
          <w:sz w:val="22"/>
          <w:szCs w:val="22"/>
        </w:rPr>
        <w:t xml:space="preserve">Regulation (EU) 2024/1689 — EU Artificial Intelligence Act, Articles 9, 12, 13, 14, 17, 26, 43, 49, 72, 73; Annex III Point 3(b); Annex IV</w:t>
      </w:r>
    </w:p>
    <w:p>
      <w:pPr>
        <w:pStyle w:val="ListParagraph"/>
        <w:numPr>
          <w:ilvl w:val="0"/>
          <w:numId w:val="2"/>
        </w:numPr>
        <w:spacing w:before="40" w:after="40"/>
      </w:pPr>
      <w:r>
        <w:rPr>
          <w:rFonts w:ascii="Arial" w:cs="Arial" w:eastAsia="Arial" w:hAnsi="Arial"/>
          <w:color w:val="0D0D0D"/>
          <w:sz w:val="22"/>
          <w:szCs w:val="22"/>
        </w:rPr>
        <w:t xml:space="preserve">Regulation (EU) 2016/679 — General Data Protection Regulation (GDPR), Articles 5, 6, 9, 22, 30, 32, 35, 44</w:t>
      </w:r>
    </w:p>
    <w:p>
      <w:pPr>
        <w:pStyle w:val="ListParagraph"/>
        <w:numPr>
          <w:ilvl w:val="0"/>
          <w:numId w:val="2"/>
        </w:numPr>
        <w:spacing w:before="40" w:after="40"/>
      </w:pPr>
      <w:r>
        <w:rPr>
          <w:rFonts w:ascii="Arial" w:cs="Arial" w:eastAsia="Arial" w:hAnsi="Arial"/>
          <w:color w:val="0D0D0D"/>
          <w:sz w:val="22"/>
          <w:szCs w:val="22"/>
        </w:rPr>
        <w:t xml:space="preserve">ISO 26262:2018 — Road vehicles: Functional safety (ASIL-D applicable)</w:t>
      </w:r>
    </w:p>
    <w:p>
      <w:pPr>
        <w:pStyle w:val="ListParagraph"/>
        <w:numPr>
          <w:ilvl w:val="0"/>
          <w:numId w:val="2"/>
        </w:numPr>
        <w:spacing w:before="40" w:after="40"/>
      </w:pPr>
      <w:r>
        <w:rPr>
          <w:rFonts w:ascii="Arial" w:cs="Arial" w:eastAsia="Arial" w:hAnsi="Arial"/>
          <w:color w:val="0D0D0D"/>
          <w:sz w:val="22"/>
          <w:szCs w:val="22"/>
        </w:rPr>
        <w:t xml:space="preserve">ISO/SAE 21434:2021 — Road vehicles: Cybersecurity engineering</w:t>
      </w:r>
    </w:p>
    <w:p>
      <w:pPr>
        <w:pStyle w:val="ListParagraph"/>
        <w:numPr>
          <w:ilvl w:val="0"/>
          <w:numId w:val="2"/>
        </w:numPr>
        <w:spacing w:before="40" w:after="40"/>
      </w:pPr>
      <w:r>
        <w:rPr>
          <w:rFonts w:ascii="Arial" w:cs="Arial" w:eastAsia="Arial" w:hAnsi="Arial"/>
          <w:color w:val="0D0D0D"/>
          <w:sz w:val="22"/>
          <w:szCs w:val="22"/>
        </w:rPr>
        <w:t xml:space="preserve">Automotive SPICE (ASPICE) v4.0 — Process Assessment Model</w:t>
      </w:r>
    </w:p>
    <w:p>
      <w:pPr>
        <w:pStyle w:val="ListParagraph"/>
        <w:numPr>
          <w:ilvl w:val="0"/>
          <w:numId w:val="2"/>
        </w:numPr>
        <w:spacing w:before="40" w:after="40"/>
      </w:pPr>
      <w:r>
        <w:rPr>
          <w:rFonts w:ascii="Arial" w:cs="Arial" w:eastAsia="Arial" w:hAnsi="Arial"/>
          <w:color w:val="0D0D0D"/>
          <w:sz w:val="22"/>
          <w:szCs w:val="22"/>
        </w:rPr>
        <w:t xml:space="preserve">ISO/IEC 27001:2022 — Information security management</w:t>
      </w:r>
    </w:p>
    <w:p>
      <w:pPr>
        <w:pStyle w:val="ListParagraph"/>
        <w:numPr>
          <w:ilvl w:val="0"/>
          <w:numId w:val="2"/>
        </w:numPr>
        <w:spacing w:before="40" w:after="40"/>
      </w:pPr>
      <w:r>
        <w:rPr>
          <w:rFonts w:ascii="Arial" w:cs="Arial" w:eastAsia="Arial" w:hAnsi="Arial"/>
          <w:color w:val="0D0D0D"/>
          <w:sz w:val="22"/>
          <w:szCs w:val="22"/>
        </w:rPr>
        <w:t xml:space="preserve">NIS2 Directive (EU) 2022/2555 — Cybersecurity obligations for critical infrastructure</w:t>
      </w:r>
    </w:p>
    <w:p>
      <w:pPr>
        <w:spacing w:before="0" w:after="160"/>
      </w:pPr>
    </w:p>
    <w:p>
      <w:r>
        <w:br w:type="page"/>
      </w:r>
    </w:p>
    <w:p>
      <w:pPr>
        <w:pStyle w:val="Heading1"/>
        <w:spacing w:before="360" w:after="120"/>
      </w:pPr>
      <w:r>
        <w:rPr>
          <w:rFonts w:ascii="Arial" w:cs="Arial" w:eastAsia="Arial" w:hAnsi="Arial"/>
          <w:b/>
          <w:bCs/>
          <w:color w:val="1B2A4A"/>
          <w:sz w:val="36"/>
          <w:szCs w:val="36"/>
        </w:rPr>
        <w:t xml:space="preserve">Section 2 — Traceability Audit</w:t>
      </w:r>
    </w:p>
    <w:p>
      <w:pPr>
        <w:pBdr>
          <w:bottom w:val="single" w:color="2E5FA3" w:sz="8" w:space="1"/>
        </w:pBdr>
        <w:spacing w:before="0" w:after="80"/>
      </w:pPr>
    </w:p>
    <w:p>
      <w:pPr>
        <w:spacing w:before="0" w:after="80"/>
      </w:pPr>
    </w:p>
    <w:p>
      <w:pPr>
        <w:spacing w:before="60" w:after="100"/>
      </w:pPr>
      <w:r>
        <w:rPr>
          <w:rFonts w:ascii="Arial" w:cs="Arial" w:eastAsia="Arial" w:hAnsi="Arial"/>
          <w:b/>
          <w:bCs/>
          <w:color w:val="0D0D0D"/>
          <w:sz w:val="22"/>
          <w:szCs w:val="22"/>
        </w:rPr>
        <w:t xml:space="preserve">Regulatory Basis: </w:t>
      </w:r>
      <w:r>
        <w:rPr>
          <w:rFonts w:ascii="Arial" w:cs="Arial" w:eastAsia="Arial" w:hAnsi="Arial"/>
          <w:color w:val="0D0D0D"/>
          <w:sz w:val="22"/>
          <w:szCs w:val="22"/>
        </w:rPr>
        <w:t xml:space="preserve">AI_Act_Art12_Para1_PointA (timestamp of use), AI_Act_Art12_Para1_PointB (version of the AI system used), Annex_IV_Point1 (system identity), ASPICE v4.0 SYS.5.BP1 (traceability of system elements).</w:t>
      </w:r>
    </w:p>
    <w:p>
      <w:pPr>
        <w:spacing w:before="0" w:after="80"/>
      </w:pPr>
    </w:p>
    <w:p>
      <w:pPr>
        <w:pStyle w:val="Heading2"/>
        <w:spacing w:before="280" w:after="100"/>
      </w:pPr>
      <w:r>
        <w:rPr>
          <w:rFonts w:ascii="Arial" w:cs="Arial" w:eastAsia="Arial" w:hAnsi="Arial"/>
          <w:b/>
          <w:bCs/>
          <w:color w:val="2E5FA3"/>
          <w:sz w:val="28"/>
          <w:szCs w:val="28"/>
        </w:rPr>
        <w:t xml:space="preserve">2.1  Traceability Methodology</w:t>
      </w:r>
    </w:p>
    <w:p>
      <w:pPr>
        <w:spacing w:before="60" w:after="100"/>
      </w:pPr>
      <w:r>
        <w:rPr>
          <w:rFonts w:ascii="Arial" w:cs="Arial" w:eastAsia="Arial" w:hAnsi="Arial"/>
          <w:color w:val="0D0D0D"/>
          <w:sz w:val="22"/>
          <w:szCs w:val="22"/>
        </w:rPr>
        <w:t xml:space="preserve">The LXD Traceability Audit validates that each log record in the S3 Immutable Vault contains the fields necessary to unambiguously identify: (1) the AI system version in use at the moment of inference, (2) the exact timestamp of the inferential event, (3) the deployer and operational context, and (4) the logical chain from input to output. Audit samples were drawn across three operational windows to ensure coverage across model update events.</w:t>
      </w:r>
    </w:p>
    <w:p>
      <w:pPr>
        <w:spacing w:before="0" w:after="80"/>
      </w:pPr>
    </w:p>
    <w:p>
      <w:pPr>
        <w:pStyle w:val="Heading2"/>
        <w:spacing w:before="280" w:after="100"/>
      </w:pPr>
      <w:r>
        <w:rPr>
          <w:rFonts w:ascii="Arial" w:cs="Arial" w:eastAsia="Arial" w:hAnsi="Arial"/>
          <w:b/>
          <w:bCs/>
          <w:color w:val="2E5FA3"/>
          <w:sz w:val="28"/>
          <w:szCs w:val="28"/>
        </w:rPr>
        <w:t xml:space="preserve">2.2  Sampled Log Entries — Traceability Evidence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00"/>
        <w:gridCol w:w="2660"/>
      </w:tblGrid>
      <w:tr>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Log ID</w:t>
            </w:r>
          </w:p>
        </w:tc>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Timestamp (UTC)</w:t>
            </w:r>
          </w:p>
        </w:tc>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#8293</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8"/>
                <w:szCs w:val="18"/>
              </w:rPr>
              <w:t xml:space="preserve">2026-02-14T09:17:42.381Z</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color w:val="0D0D0D"/>
                <w:sz w:val="22"/>
                <w:szCs w:val="22"/>
              </w:rPr>
              <w:t xml:space="preserve">INFERENCE_REQUEST</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r>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#8294</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8"/>
                <w:szCs w:val="18"/>
              </w:rPr>
              <w:t xml:space="preserve">2026-02-14T09:17:42.509Z</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0D0D0D"/>
                <w:sz w:val="22"/>
                <w:szCs w:val="22"/>
              </w:rPr>
              <w:t xml:space="preserve">INFERENCE_REQUEST</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r>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#11047</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8"/>
                <w:szCs w:val="18"/>
              </w:rPr>
              <w:t xml:space="preserve">2026-02-19T14:33:08.002Z</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color w:val="0D0D0D"/>
                <w:sz w:val="22"/>
                <w:szCs w:val="22"/>
              </w:rPr>
              <w:t xml:space="preserve">MODEL_UPDATE</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r>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#11048</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8"/>
                <w:szCs w:val="18"/>
              </w:rPr>
              <w:t xml:space="preserve">2026-02-19T14:33:08.114Z</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0D0D0D"/>
                <w:sz w:val="22"/>
                <w:szCs w:val="22"/>
              </w:rPr>
              <w:t xml:space="preserve">INFERENCE_REQUEST</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r>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#23901</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8"/>
                <w:szCs w:val="18"/>
              </w:rPr>
              <w:t xml:space="preserve">2026-02-27T22:58:31.777Z</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color w:val="0D0D0D"/>
                <w:sz w:val="22"/>
                <w:szCs w:val="22"/>
              </w:rPr>
              <w:t xml:space="preserve">HUMAN_INTERVENTION</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D68910"/>
                <w:sz w:val="20"/>
                <w:szCs w:val="20"/>
              </w:rPr>
              <w:t xml:space="preserve">GAP — CG-001</w:t>
            </w:r>
          </w:p>
        </w:tc>
      </w:tr>
      <w:tr>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#23902</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8"/>
                <w:szCs w:val="18"/>
              </w:rPr>
              <w:t xml:space="preserve">2026-02-27T22:58:32.001Z</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0D0D0D"/>
                <w:sz w:val="22"/>
                <w:szCs w:val="22"/>
              </w:rPr>
              <w:t xml:space="preserve">SYSTEM_OVERRIDE</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D68910"/>
                <w:sz w:val="20"/>
                <w:szCs w:val="20"/>
              </w:rPr>
              <w:t xml:space="preserve">GAP — CG-001</w:t>
            </w:r>
          </w:p>
        </w:tc>
      </w:tr>
      <w:tr>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#31188</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8"/>
                <w:szCs w:val="18"/>
              </w:rPr>
              <w:t xml:space="preserve">2026-02-28T06:12:19.450Z</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color w:val="0D0D0D"/>
                <w:sz w:val="22"/>
                <w:szCs w:val="22"/>
              </w:rPr>
              <w:t xml:space="preserve">INFERENCE_REQUEST</w:t>
            </w:r>
          </w:p>
        </w:tc>
        <w:tc>
          <w:tcPr>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r>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#31189</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8"/>
                <w:szCs w:val="18"/>
              </w:rPr>
              <w:t xml:space="preserve">2026-02-28T06:12:19.503Z</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color w:val="0D0D0D"/>
                <w:sz w:val="22"/>
                <w:szCs w:val="22"/>
              </w:rPr>
              <w:t xml:space="preserve">AUTOMATED_DECISION</w:t>
            </w:r>
          </w:p>
        </w:tc>
        <w:tc>
          <w:tcPr>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w:t>
            </w:r>
          </w:p>
        </w:tc>
      </w:tr>
    </w:tbl>
    <w:p>
      <w:pPr>
        <w:spacing w:before="0" w:after="120"/>
      </w:pPr>
    </w:p>
    <w:p>
      <w:pPr>
        <w:pStyle w:val="Heading2"/>
        <w:spacing w:before="280" w:after="100"/>
      </w:pPr>
      <w:r>
        <w:rPr>
          <w:rFonts w:ascii="Arial" w:cs="Arial" w:eastAsia="Arial" w:hAnsi="Arial"/>
          <w:b/>
          <w:bCs/>
          <w:color w:val="2E5FA3"/>
          <w:sz w:val="28"/>
          <w:szCs w:val="28"/>
        </w:rPr>
        <w:t xml:space="preserve">2.3  Detailed Traceability Findings</w:t>
      </w:r>
    </w:p>
    <w:p>
      <w:pPr>
        <w:spacing w:before="0" w:after="40"/>
      </w:pPr>
    </w:p>
    <w:p>
      <w:pPr>
        <w:pStyle w:val="Heading3"/>
        <w:spacing w:before="200" w:after="80"/>
      </w:pPr>
      <w:r>
        <w:rPr>
          <w:rFonts w:ascii="Arial" w:cs="Arial" w:eastAsia="Arial" w:hAnsi="Arial"/>
          <w:b/>
          <w:bCs/>
          <w:color w:val="1B2A4A"/>
          <w:sz w:val="24"/>
          <w:szCs w:val="24"/>
        </w:rPr>
        <w:t xml:space="preserve">2.3.1  Log Entry #8293 — Decision Logic Version Traceability</w:t>
      </w:r>
    </w:p>
    <w:p>
      <w:pPr>
        <w:spacing w:before="60" w:after="100"/>
      </w:pPr>
      <w:r>
        <w:rPr>
          <w:rFonts w:ascii="Arial" w:cs="Arial" w:eastAsia="Arial" w:hAnsi="Arial"/>
          <w:b/>
          <w:bCs/>
          <w:color w:val="0D0D0D"/>
          <w:sz w:val="22"/>
          <w:szCs w:val="22"/>
        </w:rPr>
        <w:t xml:space="preserve">Finding: </w:t>
      </w:r>
      <w:r>
        <w:rPr>
          <w:rFonts w:ascii="Arial" w:cs="Arial" w:eastAsia="Arial" w:hAnsi="Arial"/>
          <w:color w:val="0D0D0D"/>
          <w:sz w:val="22"/>
          <w:szCs w:val="22"/>
        </w:rPr>
        <w:t xml:space="preserve">Log Entry #8293 (</w:t>
      </w:r>
      <w:r>
        <w:rPr>
          <w:rFonts w:ascii="Courier New" w:cs="Courier New" w:eastAsia="Courier New" w:hAnsi="Courier New"/>
          <w:color w:val="5A6475"/>
          <w:sz w:val="18"/>
          <w:szCs w:val="18"/>
        </w:rPr>
        <w:t xml:space="preserve">2026-02-14T09:17:42.381Z</w:t>
      </w:r>
      <w:r>
        <w:rPr>
          <w:rFonts w:ascii="Arial" w:cs="Arial" w:eastAsia="Arial" w:hAnsi="Arial"/>
          <w:color w:val="0D0D0D"/>
          <w:sz w:val="22"/>
          <w:szCs w:val="22"/>
        </w:rPr>
        <w:t xml:space="preserve">) provides definitive proof of the AI system version in use at the time of inference. The record captures all three version dimensions mandated under LXD Ambiguity Resolution AG-002:</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model_weights_version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percept-7.weights.v2.1.4-stable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api_version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api/v3.1.0</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pipeline_version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sdv-pipeline-release-2025-11-08</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lambda_function_version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v4 (arn:aws:lambda:eu-central-1:448291057834:function:lxd-sdv-art12-ingest:v4)</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clock_source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AWS_TIME_SYNC_PTP</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event_timestamp</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2026-02-14T09:17:42.381Z (millisecond precision — UTC)</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ingestion_timestamp</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2026-02-14T09:17:42.394Z (delta: 13ms — within SLA)</w:t>
            </w:r>
          </w:p>
        </w:tc>
      </w:tr>
    </w:tbl>
    <w:p>
      <w:pPr>
        <w:spacing w:before="0" w:after="80"/>
      </w:pPr>
    </w:p>
    <w:p>
      <w:pPr>
        <w:spacing w:before="60" w:after="100"/>
      </w:pPr>
      <w:r>
        <w:rPr>
          <w:rFonts w:ascii="Arial" w:cs="Arial" w:eastAsia="Arial" w:hAnsi="Arial"/>
          <w:color w:val="0D0D0D"/>
          <w:sz w:val="22"/>
          <w:szCs w:val="22"/>
        </w:rPr>
        <w:t xml:space="preserve">The </w:t>
      </w:r>
      <w:r>
        <w:rPr>
          <w:rFonts w:ascii="Arial" w:cs="Arial" w:eastAsia="Arial" w:hAnsi="Arial"/>
          <w:b/>
          <w:bCs/>
          <w:color w:val="0D0D0D"/>
          <w:sz w:val="22"/>
          <w:szCs w:val="22"/>
        </w:rPr>
        <w:t xml:space="preserve">13ms ingestion delta</w:t>
      </w:r>
      <w:r>
        <w:rPr>
          <w:rFonts w:ascii="Arial" w:cs="Arial" w:eastAsia="Arial" w:hAnsi="Arial"/>
          <w:color w:val="0D0D0D"/>
          <w:sz w:val="22"/>
          <w:szCs w:val="22"/>
        </w:rPr>
        <w:t xml:space="preserve"> between </w:t>
      </w:r>
      <w:r>
        <w:rPr>
          <w:rFonts w:ascii="Courier New" w:cs="Courier New" w:eastAsia="Courier New" w:hAnsi="Courier New"/>
          <w:color w:val="5A6475"/>
          <w:sz w:val="18"/>
          <w:szCs w:val="18"/>
        </w:rPr>
        <w:t xml:space="preserve">event_timestamp</w:t>
      </w:r>
      <w:r>
        <w:rPr>
          <w:rFonts w:ascii="Arial" w:cs="Arial" w:eastAsia="Arial" w:hAnsi="Arial"/>
          <w:color w:val="0D0D0D"/>
          <w:sz w:val="22"/>
          <w:szCs w:val="22"/>
        </w:rPr>
        <w:t xml:space="preserve"> and </w:t>
      </w:r>
      <w:r>
        <w:rPr>
          <w:rFonts w:ascii="Courier New" w:cs="Courier New" w:eastAsia="Courier New" w:hAnsi="Courier New"/>
          <w:color w:val="5A6475"/>
          <w:sz w:val="18"/>
          <w:szCs w:val="18"/>
        </w:rPr>
        <w:t xml:space="preserve">ingestion_timestamp</w:t>
      </w:r>
      <w:r>
        <w:rPr>
          <w:rFonts w:ascii="Arial" w:cs="Arial" w:eastAsia="Arial" w:hAnsi="Arial"/>
          <w:color w:val="0D0D0D"/>
          <w:sz w:val="22"/>
          <w:szCs w:val="22"/>
        </w:rPr>
        <w:t xml:space="preserve"> confirms that the AWS Time Sync Service (PTP) clock source is operating within tolerance per </w:t>
      </w:r>
      <w:r>
        <w:rPr>
          <w:rFonts w:ascii="Arial" w:cs="Arial" w:eastAsia="Arial" w:hAnsi="Arial"/>
          <w:b/>
          <w:bCs/>
          <w:color w:val="0D0D0D"/>
          <w:sz w:val="22"/>
          <w:szCs w:val="22"/>
        </w:rPr>
        <w:t xml:space="preserve">ISO 26262-4:2018 §9.4.2</w:t>
      </w:r>
      <w:r>
        <w:rPr>
          <w:rFonts w:ascii="Arial" w:cs="Arial" w:eastAsia="Arial" w:hAnsi="Arial"/>
          <w:color w:val="0D0D0D"/>
          <w:sz w:val="22"/>
          <w:szCs w:val="22"/>
        </w:rPr>
        <w:t xml:space="preserve"> (latency bound for safety-relevant logging). This entry constitutes irrefutable evidence of timestamping of decision logic version 2.1.4, satisfying </w:t>
      </w:r>
      <w:r>
        <w:rPr>
          <w:rFonts w:ascii="Arial" w:cs="Arial" w:eastAsia="Arial" w:hAnsi="Arial"/>
          <w:b/>
          <w:bCs/>
          <w:color w:val="0D0D0D"/>
          <w:sz w:val="22"/>
          <w:szCs w:val="22"/>
        </w:rPr>
        <w:t xml:space="preserve">AI_Act_Art12_Para1_PointB</w:t>
      </w:r>
      <w:r>
        <w:rPr>
          <w:rFonts w:ascii="Arial" w:cs="Arial" w:eastAsia="Arial" w:hAnsi="Arial"/>
          <w:color w:val="0D0D0D"/>
          <w:sz w:val="22"/>
          <w:szCs w:val="22"/>
        </w:rPr>
        <w:t xml:space="preserve">.</w:t>
      </w:r>
    </w:p>
    <w:p>
      <w:pPr>
        <w:spacing w:before="0" w:after="80"/>
      </w:pPr>
    </w:p>
    <w:p>
      <w:pPr>
        <w:pStyle w:val="Heading3"/>
        <w:spacing w:before="200" w:after="80"/>
      </w:pPr>
      <w:r>
        <w:rPr>
          <w:rFonts w:ascii="Arial" w:cs="Arial" w:eastAsia="Arial" w:hAnsi="Arial"/>
          <w:b/>
          <w:bCs/>
          <w:color w:val="1B2A4A"/>
          <w:sz w:val="24"/>
          <w:szCs w:val="24"/>
        </w:rPr>
        <w:t xml:space="preserve">2.3.2  Log Entry #11047 — Model Update Event Traceability</w:t>
      </w:r>
    </w:p>
    <w:p>
      <w:pPr>
        <w:spacing w:before="60" w:after="100"/>
      </w:pPr>
      <w:r>
        <w:rPr>
          <w:rFonts w:ascii="Arial" w:cs="Arial" w:eastAsia="Arial" w:hAnsi="Arial"/>
          <w:b/>
          <w:bCs/>
          <w:color w:val="0D0D0D"/>
          <w:sz w:val="22"/>
          <w:szCs w:val="22"/>
        </w:rPr>
        <w:t xml:space="preserve">Finding: </w:t>
      </w:r>
      <w:r>
        <w:rPr>
          <w:rFonts w:ascii="Arial" w:cs="Arial" w:eastAsia="Arial" w:hAnsi="Arial"/>
          <w:color w:val="0D0D0D"/>
          <w:sz w:val="22"/>
          <w:szCs w:val="22"/>
        </w:rPr>
        <w:t xml:space="preserve">Log Entry #11047, event type </w:t>
      </w:r>
      <w:r>
        <w:rPr>
          <w:rFonts w:ascii="Courier New" w:cs="Courier New" w:eastAsia="Courier New" w:hAnsi="Courier New"/>
          <w:color w:val="5A6475"/>
          <w:sz w:val="18"/>
          <w:szCs w:val="18"/>
        </w:rPr>
        <w:t xml:space="preserve">MODEL_UPDATE</w:t>
      </w:r>
      <w:r>
        <w:rPr>
          <w:rFonts w:ascii="Arial" w:cs="Arial" w:eastAsia="Arial" w:hAnsi="Arial"/>
          <w:color w:val="0D0D0D"/>
          <w:sz w:val="22"/>
          <w:szCs w:val="22"/>
        </w:rPr>
        <w:t xml:space="preserve"> (</w:t>
      </w:r>
      <w:r>
        <w:rPr>
          <w:rFonts w:ascii="Courier New" w:cs="Courier New" w:eastAsia="Courier New" w:hAnsi="Courier New"/>
          <w:color w:val="5A6475"/>
          <w:sz w:val="18"/>
          <w:szCs w:val="18"/>
        </w:rPr>
        <w:t xml:space="preserve">2026-02-19T14:33:08.002Z</w:t>
      </w:r>
      <w:r>
        <w:rPr>
          <w:rFonts w:ascii="Arial" w:cs="Arial" w:eastAsia="Arial" w:hAnsi="Arial"/>
          <w:color w:val="0D0D0D"/>
          <w:sz w:val="22"/>
          <w:szCs w:val="22"/>
        </w:rPr>
        <w:t xml:space="preserve">), captures the transition from </w:t>
      </w:r>
      <w:r>
        <w:rPr>
          <w:rFonts w:ascii="Courier New" w:cs="Courier New" w:eastAsia="Courier New" w:hAnsi="Courier New"/>
          <w:color w:val="5A6475"/>
          <w:sz w:val="18"/>
          <w:szCs w:val="18"/>
        </w:rPr>
        <w:t xml:space="preserve">percept-7.weights.v2.1.3-stable</w:t>
      </w:r>
      <w:r>
        <w:rPr>
          <w:rFonts w:ascii="Arial" w:cs="Arial" w:eastAsia="Arial" w:hAnsi="Arial"/>
          <w:color w:val="0D0D0D"/>
          <w:sz w:val="22"/>
          <w:szCs w:val="22"/>
        </w:rPr>
        <w:t xml:space="preserve"> to </w:t>
      </w:r>
      <w:r>
        <w:rPr>
          <w:rFonts w:ascii="Courier New" w:cs="Courier New" w:eastAsia="Courier New" w:hAnsi="Courier New"/>
          <w:color w:val="5A6475"/>
          <w:sz w:val="18"/>
          <w:szCs w:val="18"/>
        </w:rPr>
        <w:t xml:space="preserve">percept-7.weights.v2.1.4-stable</w:t>
      </w:r>
      <w:r>
        <w:rPr>
          <w:rFonts w:ascii="Arial" w:cs="Arial" w:eastAsia="Arial" w:hAnsi="Arial"/>
          <w:color w:val="0D0D0D"/>
          <w:sz w:val="22"/>
          <w:szCs w:val="22"/>
        </w:rPr>
        <w:t xml:space="preserve">. The subsequent inference log #11048 (</w:t>
      </w:r>
      <w:r>
        <w:rPr>
          <w:rFonts w:ascii="Courier New" w:cs="Courier New" w:eastAsia="Courier New" w:hAnsi="Courier New"/>
          <w:color w:val="5A6475"/>
          <w:sz w:val="18"/>
          <w:szCs w:val="18"/>
        </w:rPr>
        <w:t xml:space="preserve">14:33:08.114Z</w:t>
      </w:r>
      <w:r>
        <w:rPr>
          <w:rFonts w:ascii="Arial" w:cs="Arial" w:eastAsia="Arial" w:hAnsi="Arial"/>
          <w:color w:val="0D0D0D"/>
          <w:sz w:val="22"/>
          <w:szCs w:val="22"/>
        </w:rPr>
        <w:t xml:space="preserve">) — occurring 112ms post-update — correctly reflects the new version across all three version fields. This demonstrates that the LXD Lambda transformation layer performs </w:t>
      </w:r>
      <w:r>
        <w:rPr>
          <w:rFonts w:ascii="Arial" w:cs="Arial" w:eastAsia="Arial" w:hAnsi="Arial"/>
          <w:b/>
          <w:bCs/>
          <w:color w:val="0D0D0D"/>
          <w:sz w:val="22"/>
          <w:szCs w:val="22"/>
        </w:rPr>
        <w:t xml:space="preserve">atomic version capture</w:t>
      </w:r>
      <w:r>
        <w:rPr>
          <w:rFonts w:ascii="Arial" w:cs="Arial" w:eastAsia="Arial" w:hAnsi="Arial"/>
          <w:color w:val="0D0D0D"/>
          <w:sz w:val="22"/>
          <w:szCs w:val="22"/>
        </w:rPr>
        <w:t xml:space="preserve"> at update event boundaries, fulfilling the continuous audit trail requirement of ASPICE v4.0 </w:t>
      </w:r>
      <w:r>
        <w:rPr>
          <w:rFonts w:ascii="Arial" w:cs="Arial" w:eastAsia="Arial" w:hAnsi="Arial"/>
          <w:b/>
          <w:bCs/>
          <w:color w:val="0D0D0D"/>
          <w:sz w:val="22"/>
          <w:szCs w:val="22"/>
        </w:rPr>
        <w:t xml:space="preserve">SYS.5.BP3</w:t>
      </w:r>
      <w:r>
        <w:rPr>
          <w:rFonts w:ascii="Arial" w:cs="Arial" w:eastAsia="Arial" w:hAnsi="Arial"/>
          <w:color w:val="0D0D0D"/>
          <w:sz w:val="22"/>
          <w:szCs w:val="22"/>
        </w:rPr>
        <w:t xml:space="preserve"> and </w:t>
      </w:r>
      <w:r>
        <w:rPr>
          <w:rFonts w:ascii="Arial" w:cs="Arial" w:eastAsia="Arial" w:hAnsi="Arial"/>
          <w:b/>
          <w:bCs/>
          <w:color w:val="0D0D0D"/>
          <w:sz w:val="22"/>
          <w:szCs w:val="22"/>
        </w:rPr>
        <w:t xml:space="preserve">AI_Act_Art12_Para1_PointB</w:t>
      </w:r>
      <w:r>
        <w:rPr>
          <w:rFonts w:ascii="Arial" w:cs="Arial" w:eastAsia="Arial" w:hAnsi="Arial"/>
          <w:color w:val="0D0D0D"/>
          <w:sz w:val="22"/>
          <w:szCs w:val="22"/>
        </w:rPr>
        <w:t xml:space="preserve">.</w:t>
      </w:r>
    </w:p>
    <w:p>
      <w:pPr>
        <w:spacing w:before="0" w:after="80"/>
      </w:pPr>
    </w:p>
    <w:p>
      <w:pPr>
        <w:pStyle w:val="Heading3"/>
        <w:spacing w:before="200" w:after="80"/>
      </w:pPr>
      <w:r>
        <w:rPr>
          <w:rFonts w:ascii="Arial" w:cs="Arial" w:eastAsia="Arial" w:hAnsi="Arial"/>
          <w:b/>
          <w:bCs/>
          <w:color w:val="1B2A4A"/>
          <w:sz w:val="24"/>
          <w:szCs w:val="24"/>
        </w:rPr>
        <w:t xml:space="preserve">2.3.3  Log Entries #31188 / #31189 — Automated Decision Traceability Chain</w:t>
      </w:r>
    </w:p>
    <w:p>
      <w:pPr>
        <w:spacing w:before="60" w:after="100"/>
      </w:pPr>
      <w:r>
        <w:rPr>
          <w:rFonts w:ascii="Arial" w:cs="Arial" w:eastAsia="Arial" w:hAnsi="Arial"/>
          <w:b/>
          <w:bCs/>
          <w:color w:val="0D0D0D"/>
          <w:sz w:val="22"/>
          <w:szCs w:val="22"/>
        </w:rPr>
        <w:t xml:space="preserve">Finding: </w:t>
      </w:r>
      <w:r>
        <w:rPr>
          <w:rFonts w:ascii="Arial" w:cs="Arial" w:eastAsia="Arial" w:hAnsi="Arial"/>
          <w:color w:val="0D0D0D"/>
          <w:sz w:val="22"/>
          <w:szCs w:val="22"/>
        </w:rPr>
        <w:t xml:space="preserve">The sequential pair #31188 (</w:t>
      </w:r>
      <w:r>
        <w:rPr>
          <w:rFonts w:ascii="Courier New" w:cs="Courier New" w:eastAsia="Courier New" w:hAnsi="Courier New"/>
          <w:color w:val="5A6475"/>
          <w:sz w:val="18"/>
          <w:szCs w:val="18"/>
        </w:rPr>
        <w:t xml:space="preserve">INFERENCE_REQUEST</w:t>
      </w:r>
      <w:r>
        <w:rPr>
          <w:rFonts w:ascii="Arial" w:cs="Arial" w:eastAsia="Arial" w:hAnsi="Arial"/>
          <w:color w:val="0D0D0D"/>
          <w:sz w:val="22"/>
          <w:szCs w:val="22"/>
        </w:rPr>
        <w:t xml:space="preserve">) and #31189 (</w:t>
      </w:r>
      <w:r>
        <w:rPr>
          <w:rFonts w:ascii="Courier New" w:cs="Courier New" w:eastAsia="Courier New" w:hAnsi="Courier New"/>
          <w:color w:val="5A6475"/>
          <w:sz w:val="18"/>
          <w:szCs w:val="18"/>
        </w:rPr>
        <w:t xml:space="preserve">AUTOMATED_DECISION</w:t>
      </w:r>
      <w:r>
        <w:rPr>
          <w:rFonts w:ascii="Arial" w:cs="Arial" w:eastAsia="Arial" w:hAnsi="Arial"/>
          <w:color w:val="0D0D0D"/>
          <w:sz w:val="22"/>
          <w:szCs w:val="22"/>
        </w:rPr>
        <w:t xml:space="preserve">) — separated by 53ms — demonstrates a complete decision traceability chain. The </w:t>
      </w:r>
      <w:r>
        <w:rPr>
          <w:rFonts w:ascii="Courier New" w:cs="Courier New" w:eastAsia="Courier New" w:hAnsi="Courier New"/>
          <w:color w:val="5A6475"/>
          <w:sz w:val="18"/>
          <w:szCs w:val="18"/>
        </w:rPr>
        <w:t xml:space="preserve">session_id</w:t>
      </w:r>
      <w:r>
        <w:rPr>
          <w:rFonts w:ascii="Arial" w:cs="Arial" w:eastAsia="Arial" w:hAnsi="Arial"/>
          <w:color w:val="0D0D0D"/>
          <w:sz w:val="22"/>
          <w:szCs w:val="22"/>
        </w:rPr>
        <w:t xml:space="preserve"> field (</w:t>
      </w:r>
      <w:r>
        <w:rPr>
          <w:rFonts w:ascii="Courier New" w:cs="Courier New" w:eastAsia="Courier New" w:hAnsi="Courier New"/>
          <w:color w:val="5A6475"/>
          <w:sz w:val="18"/>
          <w:szCs w:val="18"/>
        </w:rPr>
        <w:t xml:space="preserve">sess-20260228-0612-f3a92c</w:t>
      </w:r>
      <w:r>
        <w:rPr>
          <w:rFonts w:ascii="Arial" w:cs="Arial" w:eastAsia="Arial" w:hAnsi="Arial"/>
          <w:color w:val="0D0D0D"/>
          <w:sz w:val="22"/>
          <w:szCs w:val="22"/>
        </w:rPr>
        <w:t xml:space="preserve">) correctly binds both records, enabling reconstruction of the full input-to-output pathway. The field </w:t>
      </w:r>
      <w:r>
        <w:rPr>
          <w:rFonts w:ascii="Courier New" w:cs="Courier New" w:eastAsia="Courier New" w:hAnsi="Courier New"/>
          <w:color w:val="5A6475"/>
          <w:sz w:val="18"/>
          <w:szCs w:val="18"/>
        </w:rPr>
        <w:t xml:space="preserve">is_automated_decision: true</w:t>
      </w:r>
      <w:r>
        <w:rPr>
          <w:rFonts w:ascii="Arial" w:cs="Arial" w:eastAsia="Arial" w:hAnsi="Arial"/>
          <w:color w:val="0D0D0D"/>
          <w:sz w:val="22"/>
          <w:szCs w:val="22"/>
        </w:rPr>
        <w:t xml:space="preserve"> and </w:t>
      </w:r>
      <w:r>
        <w:rPr>
          <w:rFonts w:ascii="Courier New" w:cs="Courier New" w:eastAsia="Courier New" w:hAnsi="Courier New"/>
          <w:color w:val="5A6475"/>
          <w:sz w:val="18"/>
          <w:szCs w:val="18"/>
        </w:rPr>
        <w:t xml:space="preserve">output_acted_upon: true</w:t>
      </w:r>
      <w:r>
        <w:rPr>
          <w:rFonts w:ascii="Arial" w:cs="Arial" w:eastAsia="Arial" w:hAnsi="Arial"/>
          <w:color w:val="0D0D0D"/>
          <w:sz w:val="22"/>
          <w:szCs w:val="22"/>
        </w:rPr>
        <w:t xml:space="preserve"> are present, satisfying the automated decision logging mandate of </w:t>
      </w:r>
      <w:r>
        <w:rPr>
          <w:rFonts w:ascii="Arial" w:cs="Arial" w:eastAsia="Arial" w:hAnsi="Arial"/>
          <w:b/>
          <w:bCs/>
          <w:color w:val="0D0D0D"/>
          <w:sz w:val="22"/>
          <w:szCs w:val="22"/>
        </w:rPr>
        <w:t xml:space="preserve">AI_Act_Art12_Para1_PointD</w:t>
      </w:r>
      <w:r>
        <w:rPr>
          <w:rFonts w:ascii="Arial" w:cs="Arial" w:eastAsia="Arial" w:hAnsi="Arial"/>
          <w:color w:val="0D0D0D"/>
          <w:sz w:val="22"/>
          <w:szCs w:val="22"/>
        </w:rPr>
        <w:t xml:space="preserve"> and GDPR </w:t>
      </w:r>
      <w:r>
        <w:rPr>
          <w:rFonts w:ascii="Arial" w:cs="Arial" w:eastAsia="Arial" w:hAnsi="Arial"/>
          <w:b/>
          <w:bCs/>
          <w:color w:val="0D0D0D"/>
          <w:sz w:val="22"/>
          <w:szCs w:val="22"/>
        </w:rPr>
        <w:t xml:space="preserve">Art. 22</w:t>
      </w:r>
      <w:r>
        <w:rPr>
          <w:rFonts w:ascii="Arial" w:cs="Arial" w:eastAsia="Arial" w:hAnsi="Arial"/>
          <w:color w:val="0D0D0D"/>
          <w:sz w:val="22"/>
          <w:szCs w:val="22"/>
        </w:rPr>
        <w:t xml:space="preserve">.</w:t>
      </w:r>
    </w:p>
    <w:p>
      <w:pPr>
        <w:spacing w:before="0" w:after="80"/>
      </w:pPr>
    </w:p>
    <w:p>
      <w:pPr>
        <w:pStyle w:val="Heading2"/>
        <w:spacing w:before="280" w:after="100"/>
      </w:pPr>
      <w:r>
        <w:rPr>
          <w:rFonts w:ascii="Arial" w:cs="Arial" w:eastAsia="Arial" w:hAnsi="Arial"/>
          <w:b/>
          <w:bCs/>
          <w:color w:val="2E5FA3"/>
          <w:sz w:val="28"/>
          <w:szCs w:val="28"/>
        </w:rPr>
        <w:t xml:space="preserve">2.4  S3 Object Traceability Controls</w:t>
      </w:r>
    </w:p>
    <w:p>
      <w:pPr>
        <w:spacing w:before="60" w:after="100"/>
      </w:pPr>
      <w:r>
        <w:rPr>
          <w:rFonts w:ascii="Arial" w:cs="Arial" w:eastAsia="Arial" w:hAnsi="Arial"/>
          <w:color w:val="0D0D0D"/>
          <w:sz w:val="22"/>
          <w:szCs w:val="22"/>
        </w:rPr>
        <w:t xml:space="preserve">The following S3 immutability controls were verified as active for all sampled records: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S3 Object Lock Mode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COMPLIANCE (prevents deletion by all principals including root)</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KMS Encryption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Customer-managed CMK: arn:aws:kms:eu-central-1:448291057834:key/mrk-sdv-audit-cmk-01</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Versioning</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ENABLED — all versions retained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S3 Access Logging</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ENABLED — logged to s3://lxd-sdv-access-logs-euc1/</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CloudTrail Integration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ENABLED — All PutObject events captured in independent WORM trail</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Retention Period</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10 years (expire: 2036-01-01) — AI_Act_Art12_Para2 compliant</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AWS Backup</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Cross-region replication to eu-west-1 (Ireland) — RPO: 1 hour</w:t>
            </w:r>
          </w:p>
        </w:tc>
      </w:tr>
    </w:tbl>
    <w:p>
      <w:pPr>
        <w:spacing w:before="0" w:after="160"/>
      </w:pPr>
    </w:p>
    <w:p>
      <w:r>
        <w:br w:type="page"/>
      </w:r>
    </w:p>
    <w:p>
      <w:pPr>
        <w:pStyle w:val="Heading1"/>
        <w:spacing w:before="360" w:after="120"/>
      </w:pPr>
      <w:r>
        <w:rPr>
          <w:rFonts w:ascii="Arial" w:cs="Arial" w:eastAsia="Arial" w:hAnsi="Arial"/>
          <w:b/>
          <w:bCs/>
          <w:color w:val="1B2A4A"/>
          <w:sz w:val="36"/>
          <w:szCs w:val="36"/>
        </w:rPr>
        <w:t xml:space="preserve">Section 3 — Data Integrity Audit</w:t>
      </w:r>
    </w:p>
    <w:p>
      <w:pPr>
        <w:pBdr>
          <w:bottom w:val="single" w:color="2E5FA3" w:sz="8" w:space="1"/>
        </w:pBdr>
        <w:spacing w:before="0" w:after="80"/>
      </w:pPr>
    </w:p>
    <w:p>
      <w:pPr>
        <w:spacing w:before="0" w:after="80"/>
      </w:pPr>
    </w:p>
    <w:p>
      <w:pPr>
        <w:spacing w:before="60" w:after="100"/>
      </w:pPr>
      <w:r>
        <w:rPr>
          <w:rFonts w:ascii="Arial" w:cs="Arial" w:eastAsia="Arial" w:hAnsi="Arial"/>
          <w:b/>
          <w:bCs/>
          <w:color w:val="0D0D0D"/>
          <w:sz w:val="22"/>
          <w:szCs w:val="22"/>
        </w:rPr>
        <w:t xml:space="preserve">Regulatory Basis: </w:t>
      </w:r>
      <w:r>
        <w:rPr>
          <w:rFonts w:ascii="Arial" w:cs="Arial" w:eastAsia="Arial" w:hAnsi="Arial"/>
          <w:color w:val="0D0D0D"/>
          <w:sz w:val="22"/>
          <w:szCs w:val="22"/>
        </w:rPr>
        <w:t xml:space="preserve">AI_Act_Art12_Para1_PointC (input data logging), GDPR_Art5_Para1_PointC (data minimisation), GDPR_Art32 (security of processing), ISO/SAE 21434:2021 §10 (cybersecurity of stored data), ISO 26262-4:2018 §7.4.6 (data integrity).</w:t>
      </w:r>
    </w:p>
    <w:p>
      <w:pPr>
        <w:spacing w:before="0" w:after="80"/>
      </w:pPr>
    </w:p>
    <w:p>
      <w:pPr>
        <w:pStyle w:val="Heading2"/>
        <w:spacing w:before="280" w:after="100"/>
      </w:pPr>
      <w:r>
        <w:rPr>
          <w:rFonts w:ascii="Arial" w:cs="Arial" w:eastAsia="Arial" w:hAnsi="Arial"/>
          <w:b/>
          <w:bCs/>
          <w:color w:val="2E5FA3"/>
          <w:sz w:val="28"/>
          <w:szCs w:val="28"/>
        </w:rPr>
        <w:t xml:space="preserve">3.1  Input Data Hashing Architecture</w:t>
      </w:r>
    </w:p>
    <w:p>
      <w:pPr>
        <w:spacing w:before="60" w:after="100"/>
      </w:pPr>
      <w:r>
        <w:rPr>
          <w:rFonts w:ascii="Arial" w:cs="Arial" w:eastAsia="Arial" w:hAnsi="Arial"/>
          <w:color w:val="0D0D0D"/>
          <w:sz w:val="22"/>
          <w:szCs w:val="22"/>
        </w:rPr>
        <w:t xml:space="preserve">In accordance with LXD Ambiguity Resolution AG-004, the LXD Lambda transformation layer does not persist raw input payloads in the primary audit log records. This design decision resolves the inherent conflict between the Article 12(1)(c) requirement to log input data and the GDPR Article 5(1)(c) data minimisation principle — a conflict that the EU AI Act text leaves unresolved. The adopted architecture implements:</w:t>
      </w:r>
    </w:p>
    <w:p>
      <w:pPr>
        <w:spacing w:before="0" w:after="60"/>
      </w:pPr>
    </w:p>
    <w:p>
      <w:pPr>
        <w:pStyle w:val="ListParagraph"/>
        <w:numPr>
          <w:ilvl w:val="0"/>
          <w:numId w:val="2"/>
        </w:numPr>
        <w:spacing w:before="40" w:after="40"/>
      </w:pPr>
      <w:r>
        <w:rPr>
          <w:rFonts w:ascii="Arial" w:cs="Arial" w:eastAsia="Arial" w:hAnsi="Arial"/>
          <w:color w:val="0D0D0D"/>
          <w:sz w:val="22"/>
          <w:szCs w:val="22"/>
        </w:rPr>
        <w:t xml:space="preserve">SHA-256 cryptographic hash of the complete raw input tensor/frame payload</w:t>
      </w:r>
    </w:p>
    <w:p>
      <w:pPr>
        <w:pStyle w:val="ListParagraph"/>
        <w:numPr>
          <w:ilvl w:val="0"/>
          <w:numId w:val="2"/>
        </w:numPr>
        <w:spacing w:before="40" w:after="40"/>
      </w:pPr>
      <w:r>
        <w:rPr>
          <w:rFonts w:ascii="Arial" w:cs="Arial" w:eastAsia="Arial" w:hAnsi="Arial"/>
          <w:color w:val="0D0D0D"/>
          <w:sz w:val="22"/>
          <w:szCs w:val="22"/>
        </w:rPr>
        <w:t xml:space="preserve">Categorical metadata classification (e.g., IMAGE, SENSOR_LIDAR, VIDEO) without PII</w:t>
      </w:r>
    </w:p>
    <w:p>
      <w:pPr>
        <w:pStyle w:val="ListParagraph"/>
        <w:numPr>
          <w:ilvl w:val="0"/>
          <w:numId w:val="2"/>
        </w:numPr>
        <w:spacing w:before="40" w:after="40"/>
      </w:pPr>
      <w:r>
        <w:rPr>
          <w:rFonts w:ascii="Arial" w:cs="Arial" w:eastAsia="Arial" w:hAnsi="Arial"/>
          <w:color w:val="0D0D0D"/>
          <w:sz w:val="22"/>
          <w:szCs w:val="22"/>
        </w:rPr>
        <w:t xml:space="preserve">Separate encrypted S3 bucket (CMK-isolated, stricter IAM policy) for full payload archival</w:t>
      </w:r>
    </w:p>
    <w:p>
      <w:pPr>
        <w:pStyle w:val="ListParagraph"/>
        <w:numPr>
          <w:ilvl w:val="0"/>
          <w:numId w:val="2"/>
        </w:numPr>
        <w:spacing w:before="40" w:after="40"/>
      </w:pPr>
      <w:r>
        <w:rPr>
          <w:rFonts w:ascii="Arial" w:cs="Arial" w:eastAsia="Arial" w:hAnsi="Arial"/>
          <w:color w:val="0D0D0D"/>
          <w:sz w:val="22"/>
          <w:szCs w:val="22"/>
        </w:rPr>
        <w:t xml:space="preserve">Reference pointer (S3 URI) enabling retrieval by authorised audit personnel only</w:t>
      </w:r>
    </w:p>
    <w:p>
      <w:pPr>
        <w:spacing w:before="0" w:after="80"/>
      </w:pPr>
    </w:p>
    <w:p>
      <w:pPr>
        <w:spacing w:before="60" w:after="100"/>
      </w:pPr>
      <w:r>
        <w:rPr>
          <w:rFonts w:ascii="Arial" w:cs="Arial" w:eastAsia="Arial" w:hAnsi="Arial"/>
          <w:color w:val="0D0D0D"/>
          <w:sz w:val="22"/>
          <w:szCs w:val="22"/>
        </w:rPr>
        <w:t xml:space="preserve">This architecture is consistent with the </w:t>
      </w:r>
      <w:r>
        <w:rPr>
          <w:rFonts w:ascii="Arial" w:cs="Arial" w:eastAsia="Arial" w:hAnsi="Arial"/>
          <w:b/>
          <w:bCs/>
          <w:color w:val="0D0D0D"/>
          <w:sz w:val="22"/>
          <w:szCs w:val="22"/>
        </w:rPr>
        <w:t xml:space="preserve">"hash-then-reference" pattern</w:t>
      </w:r>
      <w:r>
        <w:rPr>
          <w:rFonts w:ascii="Arial" w:cs="Arial" w:eastAsia="Arial" w:hAnsi="Arial"/>
          <w:color w:val="0D0D0D"/>
          <w:sz w:val="22"/>
          <w:szCs w:val="22"/>
        </w:rPr>
        <w:t xml:space="preserve"> endorsed by the European Data Protection Board (EDPB) Guidelines 4/2019 on Article 25 GDPR, and satisfies the technical traceability requirement of Article 12(1)(c) without constituting unlawful re-processing of personal data.</w:t>
      </w:r>
    </w:p>
    <w:p>
      <w:pPr>
        <w:spacing w:before="0" w:after="80"/>
      </w:pPr>
    </w:p>
    <w:p>
      <w:pPr>
        <w:pStyle w:val="Heading2"/>
        <w:spacing w:before="280" w:after="100"/>
      </w:pPr>
      <w:r>
        <w:rPr>
          <w:rFonts w:ascii="Arial" w:cs="Arial" w:eastAsia="Arial" w:hAnsi="Arial"/>
          <w:b/>
          <w:bCs/>
          <w:color w:val="2E5FA3"/>
          <w:sz w:val="28"/>
          <w:szCs w:val="28"/>
        </w:rPr>
        <w:t xml:space="preserve">3.2  SHA-256 Hash Validation Results</w:t>
      </w:r>
    </w:p>
    <w:p>
      <w:pPr>
        <w:spacing w:before="0" w:after="40"/>
      </w:pPr>
    </w:p>
    <w:p>
      <w:pPr>
        <w:spacing w:before="60" w:after="100"/>
      </w:pPr>
      <w:r>
        <w:rPr>
          <w:rFonts w:ascii="Arial" w:cs="Arial" w:eastAsia="Arial" w:hAnsi="Arial"/>
          <w:color w:val="0D0D0D"/>
          <w:sz w:val="22"/>
          <w:szCs w:val="22"/>
        </w:rPr>
        <w:t xml:space="preserve">The following log entries were subjected to SHA-256 hash re-computation against the corresponding S3 payload objects. Results confirm bitwise integrity of all verifiable records: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760"/>
        <w:gridCol w:w="2300"/>
      </w:tblGrid>
      <w:tr>
        <w:tc>
          <w:tcPr>
            <w:tcW w:type="dxa" w:w="13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Log ID</w:t>
            </w:r>
          </w:p>
        </w:tc>
        <w:tc>
          <w:tcPr>
            <w:tcW w:type="dxa" w:w="57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Hash (SHA-256)</w:t>
            </w:r>
          </w:p>
        </w:tc>
        <w:tc>
          <w:tcPr>
            <w:tcW w:type="dxa" w:w="23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Integrity Status</w:t>
            </w:r>
          </w:p>
        </w:tc>
      </w:tr>
      <w:tr>
        <w:tc>
          <w:tcPr>
            <w:tcW w:type="dxa" w:w="1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#8293</w:t>
            </w:r>
          </w:p>
        </w:tc>
        <w:tc>
          <w:tcPr>
            <w:tcW w:type="dxa" w:w="5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6"/>
                <w:szCs w:val="16"/>
              </w:rPr>
              <w:t xml:space="preserve">a4f3c2e1b7d9084f2c1e3a5b7d9f0c2e4a6b8d0f2e4c6a8b0d2f4e6c8a0b2d4</w:t>
            </w:r>
          </w:p>
        </w:tc>
        <w:tc>
          <w:tcPr>
            <w:tcW w:type="dxa" w:w="2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r>
        <w:tc>
          <w:tcPr>
            <w:tcW w:type="dxa" w:w="1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#8294</w:t>
            </w:r>
          </w:p>
        </w:tc>
        <w:tc>
          <w:tcPr>
            <w:tcW w:type="dxa" w:w="5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6"/>
                <w:szCs w:val="16"/>
              </w:rPr>
              <w:t xml:space="preserve">b5d4e3f2c1a0b9e8d7c6b5a4f3e2d1c0b9a8f7e6d5c4b3a2f1e0d9c8b7a6f5e</w:t>
            </w:r>
          </w:p>
        </w:tc>
        <w:tc>
          <w:tcPr>
            <w:tcW w:type="dxa" w:w="2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r>
        <w:tc>
          <w:tcPr>
            <w:tcW w:type="dxa" w:w="1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#11047</w:t>
            </w:r>
          </w:p>
        </w:tc>
        <w:tc>
          <w:tcPr>
            <w:tcW w:type="dxa" w:w="5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6"/>
                <w:szCs w:val="16"/>
              </w:rPr>
              <w:t xml:space="preserve">2e4c6a8b0d2f4e6c8a0b2d4f6e8c0a2b4d6f8e0c2a4b6d8f0e2c4a6b8d0f2e4</w:t>
            </w:r>
          </w:p>
        </w:tc>
        <w:tc>
          <w:tcPr>
            <w:tcW w:type="dxa" w:w="2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r>
        <w:tc>
          <w:tcPr>
            <w:tcW w:type="dxa" w:w="1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#11048</w:t>
            </w:r>
          </w:p>
        </w:tc>
        <w:tc>
          <w:tcPr>
            <w:tcW w:type="dxa" w:w="5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6"/>
                <w:szCs w:val="16"/>
              </w:rPr>
              <w:t xml:space="preserve">f7e6d5c4b3a2f1e0d9c8b7a6f5e4d3c2b1a0f9e8d7c6b5a4f3e2d1c0b9a8f7e</w:t>
            </w:r>
          </w:p>
        </w:tc>
        <w:tc>
          <w:tcPr>
            <w:tcW w:type="dxa" w:w="2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r>
        <w:tc>
          <w:tcPr>
            <w:tcW w:type="dxa" w:w="1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#23901</w:t>
            </w:r>
          </w:p>
        </w:tc>
        <w:tc>
          <w:tcPr>
            <w:tcW w:type="dxa" w:w="5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6"/>
                <w:szCs w:val="16"/>
              </w:rPr>
              <w:t xml:space="preserve">FIELD ABSENT — input_hash_sha256 not present in record</w:t>
            </w:r>
          </w:p>
        </w:tc>
        <w:tc>
          <w:tcPr>
            <w:tcW w:type="dxa" w:w="2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C0392B"/>
                <w:sz w:val="20"/>
                <w:szCs w:val="20"/>
              </w:rPr>
              <w:t xml:space="preserve">MISSING ✗</w:t>
            </w:r>
          </w:p>
        </w:tc>
      </w:tr>
      <w:tr>
        <w:tc>
          <w:tcPr>
            <w:tcW w:type="dxa" w:w="1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#23902</w:t>
            </w:r>
          </w:p>
        </w:tc>
        <w:tc>
          <w:tcPr>
            <w:tcW w:type="dxa" w:w="5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6"/>
                <w:szCs w:val="16"/>
              </w:rPr>
              <w:t xml:space="preserve">FIELD ABSENT — input_hash_sha256 not present in record</w:t>
            </w:r>
          </w:p>
        </w:tc>
        <w:tc>
          <w:tcPr>
            <w:tcW w:type="dxa" w:w="2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MISSING ✗</w:t>
            </w:r>
          </w:p>
        </w:tc>
      </w:tr>
      <w:tr>
        <w:tc>
          <w:tcPr>
            <w:tcW w:type="dxa" w:w="1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2E5FA3"/>
                <w:sz w:val="18"/>
                <w:szCs w:val="18"/>
              </w:rPr>
              <w:t xml:space="preserve">#31188</w:t>
            </w:r>
          </w:p>
        </w:tc>
        <w:tc>
          <w:tcPr>
            <w:tcW w:type="dxa" w:w="576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Courier New" w:cs="Courier New" w:eastAsia="Courier New" w:hAnsi="Courier New"/>
                <w:color w:val="5A6475"/>
                <w:sz w:val="16"/>
                <w:szCs w:val="16"/>
              </w:rPr>
              <w:t xml:space="preserve">c1a0b9e8d7c6b5a4f3e2d1c0b9a8f7e6d5c4b3a2f1e0d9c8b7a6f5e4d3c2b1a</w:t>
            </w:r>
          </w:p>
        </w:tc>
        <w:tc>
          <w:tcPr>
            <w:tcW w:type="dxa" w:w="2300"/>
            <w:tcBorders>
              <w:top w:val="single" w:color="D0D7E3" w:sz="1"/>
              <w:left w:val="single" w:color="D0D7E3" w:sz="1"/>
              <w:bottom w:val="single" w:color="D0D7E3" w:sz="1"/>
              <w:right w:val="single" w:color="D0D7E3" w:sz="1"/>
            </w:tcBorders>
            <w:shd w:fill="F2F4F8"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r>
        <w:tc>
          <w:tcPr>
            <w:tcW w:type="dxa" w:w="1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2E5FA3"/>
                <w:sz w:val="18"/>
                <w:szCs w:val="18"/>
              </w:rPr>
              <w:t xml:space="preserve">#31189</w:t>
            </w:r>
          </w:p>
        </w:tc>
        <w:tc>
          <w:tcPr>
            <w:tcW w:type="dxa" w:w="57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color w:val="5A6475"/>
                <w:sz w:val="16"/>
                <w:szCs w:val="16"/>
              </w:rPr>
              <w:t xml:space="preserve">d9c8b7a6f5e4d3c2b1a0f9e8d7c6b5a4f3e2d1c0b9a8f7e6d5c4b3a2f1e0d9c</w:t>
            </w:r>
          </w:p>
        </w:tc>
        <w:tc>
          <w:tcPr>
            <w:tcW w:type="dxa" w:w="23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1E8449"/>
                <w:sz w:val="20"/>
                <w:szCs w:val="20"/>
              </w:rPr>
              <w:t xml:space="preserve">VERIFIED ✓</w:t>
            </w:r>
          </w:p>
        </w:tc>
      </w:tr>
    </w:tbl>
    <w:p>
      <w:pPr>
        <w:spacing w:before="0" w:after="120"/>
      </w:pPr>
    </w:p>
    <w:p>
      <w:pPr>
        <w:pStyle w:val="Heading2"/>
        <w:spacing w:before="280" w:after="100"/>
      </w:pPr>
      <w:r>
        <w:rPr>
          <w:rFonts w:ascii="Arial" w:cs="Arial" w:eastAsia="Arial" w:hAnsi="Arial"/>
          <w:b/>
          <w:bCs/>
          <w:color w:val="2E5FA3"/>
          <w:sz w:val="28"/>
          <w:szCs w:val="28"/>
        </w:rPr>
        <w:t xml:space="preserve">3.3  Compliance Gap CG-002 — Missing SHA-256 Hashes (Log #23901, #23902)</w:t>
      </w:r>
    </w:p>
    <w:p>
      <w:pPr>
        <w:spacing w:before="60" w:after="100"/>
      </w:pPr>
      <w:r>
        <w:rPr>
          <w:rFonts w:ascii="Arial" w:cs="Arial" w:eastAsia="Arial" w:hAnsi="Arial"/>
          <w:b/>
          <w:bCs/>
          <w:color w:val="0D0D0D"/>
          <w:sz w:val="22"/>
          <w:szCs w:val="22"/>
        </w:rPr>
        <w:t xml:space="preserve">[COMPLIANCE GAP CG-002 — SEVERITY: HIGH]</w:t>
      </w:r>
      <w:r>
        <w:rPr>
          <w:rFonts w:ascii="Arial" w:cs="Arial" w:eastAsia="Arial" w:hAnsi="Arial"/>
          <w:color w:val="0D0D0D"/>
          <w:sz w:val="22"/>
          <w:szCs w:val="22"/>
        </w:rPr>
        <w:t xml:space="preserve"> Log entries #23901 and #23902, both associated with the </w:t>
      </w:r>
      <w:r>
        <w:rPr>
          <w:rFonts w:ascii="Courier New" w:cs="Courier New" w:eastAsia="Courier New" w:hAnsi="Courier New"/>
          <w:color w:val="5A6475"/>
          <w:sz w:val="18"/>
          <w:szCs w:val="18"/>
        </w:rPr>
        <w:t xml:space="preserve">HUMAN_INTERVENTION</w:t>
      </w:r>
      <w:r>
        <w:rPr>
          <w:rFonts w:ascii="Arial" w:cs="Arial" w:eastAsia="Arial" w:hAnsi="Arial"/>
          <w:color w:val="0D0D0D"/>
          <w:sz w:val="22"/>
          <w:szCs w:val="22"/>
        </w:rPr>
        <w:t xml:space="preserve"> and </w:t>
      </w:r>
      <w:r>
        <w:rPr>
          <w:rFonts w:ascii="Courier New" w:cs="Courier New" w:eastAsia="Courier New" w:hAnsi="Courier New"/>
          <w:color w:val="5A6475"/>
          <w:sz w:val="18"/>
          <w:szCs w:val="18"/>
        </w:rPr>
        <w:t xml:space="preserve">SYSTEM_OVERRIDE</w:t>
      </w:r>
      <w:r>
        <w:rPr>
          <w:rFonts w:ascii="Arial" w:cs="Arial" w:eastAsia="Arial" w:hAnsi="Arial"/>
          <w:color w:val="0D0D0D"/>
          <w:sz w:val="22"/>
          <w:szCs w:val="22"/>
        </w:rPr>
        <w:t xml:space="preserve"> event sequence of 2026-02-27T22:58:31Z, are missing the </w:t>
      </w:r>
      <w:r>
        <w:rPr>
          <w:rFonts w:ascii="Courier New" w:cs="Courier New" w:eastAsia="Courier New" w:hAnsi="Courier New"/>
          <w:color w:val="5A6475"/>
          <w:sz w:val="18"/>
          <w:szCs w:val="18"/>
        </w:rPr>
        <w:t xml:space="preserve">input_hash_sha256</w:t>
      </w:r>
      <w:r>
        <w:rPr>
          <w:rFonts w:ascii="Arial" w:cs="Arial" w:eastAsia="Arial" w:hAnsi="Arial"/>
          <w:color w:val="0D0D0D"/>
          <w:sz w:val="22"/>
          <w:szCs w:val="22"/>
        </w:rPr>
        <w:t xml:space="preserve"> field. Investigation of the Lambda execution logs indicates that this event sequence was triggered by a manual safety override that bypassed the standard inference pipeline. The LXD Lambda ingest function's hash computation module was not invoked for override-path events.</w:t>
      </w:r>
    </w:p>
    <w:p>
      <w:pPr>
        <w:spacing w:before="0" w:after="60"/>
      </w:pPr>
    </w:p>
    <w:p>
      <w:pPr>
        <w:spacing w:before="60" w:after="100"/>
      </w:pPr>
      <w:r>
        <w:rPr>
          <w:rFonts w:ascii="Arial" w:cs="Arial" w:eastAsia="Arial" w:hAnsi="Arial"/>
          <w:b/>
          <w:bCs/>
          <w:color w:val="0D0D0D"/>
          <w:sz w:val="22"/>
          <w:szCs w:val="22"/>
        </w:rPr>
        <w:t xml:space="preserve">Impact: </w:t>
      </w:r>
      <w:r>
        <w:rPr>
          <w:rFonts w:ascii="Arial" w:cs="Arial" w:eastAsia="Arial" w:hAnsi="Arial"/>
          <w:color w:val="0D0D0D"/>
          <w:sz w:val="22"/>
          <w:szCs w:val="22"/>
        </w:rPr>
        <w:t xml:space="preserve">Without the input hash, it is not possible to verify the integrity of the sensor input state at the time of the override. This creates a </w:t>
      </w:r>
      <w:r>
        <w:rPr>
          <w:rFonts w:ascii="Arial" w:cs="Arial" w:eastAsia="Arial" w:hAnsi="Arial"/>
          <w:b/>
          <w:bCs/>
          <w:color w:val="0D0D0D"/>
          <w:sz w:val="22"/>
          <w:szCs w:val="22"/>
        </w:rPr>
        <w:t xml:space="preserve">partial evidential gap</w:t>
      </w:r>
      <w:r>
        <w:rPr>
          <w:rFonts w:ascii="Arial" w:cs="Arial" w:eastAsia="Arial" w:hAnsi="Arial"/>
          <w:color w:val="0D0D0D"/>
          <w:sz w:val="22"/>
          <w:szCs w:val="22"/>
        </w:rPr>
        <w:t xml:space="preserve"> in the input-to-decision chain for this event. Under ISO 26262-4:2018 §7.4.6, input data integrity verification is a safety requirement for ASIL-D systems. This gap also constitutes a partial non-conformity with </w:t>
      </w:r>
      <w:r>
        <w:rPr>
          <w:rFonts w:ascii="Arial" w:cs="Arial" w:eastAsia="Arial" w:hAnsi="Arial"/>
          <w:b/>
          <w:bCs/>
          <w:color w:val="0D0D0D"/>
          <w:sz w:val="22"/>
          <w:szCs w:val="22"/>
        </w:rPr>
        <w:t xml:space="preserve">AI_Act_Art12_Para1_PointC</w:t>
      </w:r>
      <w:r>
        <w:rPr>
          <w:rFonts w:ascii="Arial" w:cs="Arial" w:eastAsia="Arial" w:hAnsi="Arial"/>
          <w:color w:val="0D0D0D"/>
          <w:sz w:val="22"/>
          <w:szCs w:val="22"/>
        </w:rPr>
        <w:t xml:space="preserve">.</w:t>
      </w:r>
    </w:p>
    <w:p>
      <w:pPr>
        <w:spacing w:before="0" w:after="60"/>
      </w:pPr>
    </w:p>
    <w:p>
      <w:pPr>
        <w:spacing w:before="60" w:after="100"/>
      </w:pPr>
      <w:r>
        <w:rPr>
          <w:rFonts w:ascii="Arial" w:cs="Arial" w:eastAsia="Arial" w:hAnsi="Arial"/>
          <w:b/>
          <w:bCs/>
          <w:color w:val="0D0D0D"/>
          <w:sz w:val="22"/>
          <w:szCs w:val="22"/>
        </w:rPr>
        <w:t xml:space="preserve">Remediation (Required within 30 days): </w:t>
      </w:r>
      <w:r>
        <w:rPr>
          <w:rFonts w:ascii="Arial" w:cs="Arial" w:eastAsia="Arial" w:hAnsi="Arial"/>
          <w:color w:val="0D0D0D"/>
          <w:sz w:val="22"/>
          <w:szCs w:val="22"/>
        </w:rPr>
        <w:t xml:space="preserve">The LXD Lambda transformation layer must be updated to invoke hash computation for all event types, including override-path and human-intervention events. A retrospective hash must be computed from the archived payload in the isolated S3 bucket and appended to records #23901 and #23902 as an amendment, with a delta record documenting the amendment per </w:t>
      </w:r>
      <w:r>
        <w:rPr>
          <w:rFonts w:ascii="Arial" w:cs="Arial" w:eastAsia="Arial" w:hAnsi="Arial"/>
          <w:b/>
          <w:bCs/>
          <w:color w:val="0D0D0D"/>
          <w:sz w:val="22"/>
          <w:szCs w:val="22"/>
        </w:rPr>
        <w:t xml:space="preserve">ASPICE v4.0 CHG.1 (Change Management)</w:t>
      </w:r>
      <w:r>
        <w:rPr>
          <w:rFonts w:ascii="Arial" w:cs="Arial" w:eastAsia="Arial" w:hAnsi="Arial"/>
          <w:color w:val="0D0D0D"/>
          <w:sz w:val="22"/>
          <w:szCs w:val="22"/>
        </w:rPr>
        <w:t xml:space="preserve">.</w:t>
      </w:r>
    </w:p>
    <w:p>
      <w:pPr>
        <w:spacing w:before="0" w:after="80"/>
      </w:pPr>
    </w:p>
    <w:p>
      <w:pPr>
        <w:pStyle w:val="Heading2"/>
        <w:spacing w:before="280" w:after="100"/>
      </w:pPr>
      <w:r>
        <w:rPr>
          <w:rFonts w:ascii="Arial" w:cs="Arial" w:eastAsia="Arial" w:hAnsi="Arial"/>
          <w:b/>
          <w:bCs/>
          <w:color w:val="2E5FA3"/>
          <w:sz w:val="28"/>
          <w:szCs w:val="28"/>
        </w:rPr>
        <w:t xml:space="preserve">3.4  Data Minimisation Verification</w:t>
      </w:r>
    </w:p>
    <w:p>
      <w:pPr>
        <w:spacing w:before="60" w:after="100"/>
      </w:pPr>
      <w:r>
        <w:rPr>
          <w:rFonts w:ascii="Arial" w:cs="Arial" w:eastAsia="Arial" w:hAnsi="Arial"/>
          <w:color w:val="0D0D0D"/>
          <w:sz w:val="22"/>
          <w:szCs w:val="22"/>
        </w:rPr>
        <w:t xml:space="preserve">Audit confirmed that primary log records in the immutable vault contain no directly identifiable personal data (name, vehicle registration plate, biometric identifier). The following sensitive data types were found exclusively in the isolated payload bucket:</w:t>
      </w:r>
    </w:p>
    <w:p>
      <w:pPr>
        <w:spacing w:before="0" w:after="40"/>
      </w:pPr>
    </w:p>
    <w:p>
      <w:pPr>
        <w:pStyle w:val="ListParagraph"/>
        <w:numPr>
          <w:ilvl w:val="0"/>
          <w:numId w:val="2"/>
        </w:numPr>
        <w:spacing w:before="40" w:after="40"/>
      </w:pPr>
      <w:r>
        <w:rPr>
          <w:rFonts w:ascii="Arial" w:cs="Arial" w:eastAsia="Arial" w:hAnsi="Arial"/>
          <w:color w:val="0D0D0D"/>
          <w:sz w:val="22"/>
          <w:szCs w:val="22"/>
        </w:rPr>
        <w:t xml:space="preserve">Raw camera frame images (data category: IMAGE)</w:t>
      </w:r>
    </w:p>
    <w:p>
      <w:pPr>
        <w:pStyle w:val="ListParagraph"/>
        <w:numPr>
          <w:ilvl w:val="0"/>
          <w:numId w:val="2"/>
        </w:numPr>
        <w:spacing w:before="40" w:after="40"/>
      </w:pPr>
      <w:r>
        <w:rPr>
          <w:rFonts w:ascii="Arial" w:cs="Arial" w:eastAsia="Arial" w:hAnsi="Arial"/>
          <w:color w:val="0D0D0D"/>
          <w:sz w:val="22"/>
          <w:szCs w:val="22"/>
        </w:rPr>
        <w:t xml:space="preserve">LiDAR point cloud tensors (data category: SENSOR_LIDAR)</w:t>
      </w:r>
    </w:p>
    <w:p>
      <w:pPr>
        <w:pStyle w:val="ListParagraph"/>
        <w:numPr>
          <w:ilvl w:val="0"/>
          <w:numId w:val="2"/>
        </w:numPr>
        <w:spacing w:before="40" w:after="40"/>
      </w:pPr>
      <w:r>
        <w:rPr>
          <w:rFonts w:ascii="Arial" w:cs="Arial" w:eastAsia="Arial" w:hAnsi="Arial"/>
          <w:color w:val="0D0D0D"/>
          <w:sz w:val="22"/>
          <w:szCs w:val="22"/>
        </w:rPr>
        <w:t xml:space="preserve">GPS coordinates (data category: LOCATION — encrypted at field level)</w:t>
      </w:r>
    </w:p>
    <w:p>
      <w:pPr>
        <w:spacing w:before="0" w:after="60"/>
      </w:pPr>
    </w:p>
    <w:p>
      <w:pPr>
        <w:spacing w:before="60" w:after="100"/>
      </w:pPr>
      <w:r>
        <w:rPr>
          <w:rFonts w:ascii="Arial" w:cs="Arial" w:eastAsia="Arial" w:hAnsi="Arial"/>
          <w:color w:val="0D0D0D"/>
          <w:sz w:val="22"/>
          <w:szCs w:val="22"/>
        </w:rPr>
        <w:t xml:space="preserve">This confirms compliance with GDPR </w:t>
      </w:r>
      <w:r>
        <w:rPr>
          <w:rFonts w:ascii="Arial" w:cs="Arial" w:eastAsia="Arial" w:hAnsi="Arial"/>
          <w:b/>
          <w:bCs/>
          <w:color w:val="0D0D0D"/>
          <w:sz w:val="22"/>
          <w:szCs w:val="22"/>
        </w:rPr>
        <w:t xml:space="preserve">Art. 5(1)(c)</w:t>
      </w:r>
      <w:r>
        <w:rPr>
          <w:rFonts w:ascii="Arial" w:cs="Arial" w:eastAsia="Arial" w:hAnsi="Arial"/>
          <w:color w:val="0D0D0D"/>
          <w:sz w:val="22"/>
          <w:szCs w:val="22"/>
        </w:rPr>
        <w:t xml:space="preserve"> and the LXD AG-004 technical assumption. The </w:t>
      </w:r>
      <w:r>
        <w:rPr>
          <w:rFonts w:ascii="Courier New" w:cs="Courier New" w:eastAsia="Courier New" w:hAnsi="Courier New"/>
          <w:color w:val="5A6475"/>
          <w:sz w:val="18"/>
          <w:szCs w:val="18"/>
        </w:rPr>
        <w:t xml:space="preserve">contains_special_category_data</w:t>
      </w:r>
      <w:r>
        <w:rPr>
          <w:rFonts w:ascii="Arial" w:cs="Arial" w:eastAsia="Arial" w:hAnsi="Arial"/>
          <w:color w:val="0D0D0D"/>
          <w:sz w:val="22"/>
          <w:szCs w:val="22"/>
        </w:rPr>
        <w:t xml:space="preserve"> flag was correctly set to </w:t>
      </w:r>
      <w:r>
        <w:rPr>
          <w:rFonts w:ascii="Courier New" w:cs="Courier New" w:eastAsia="Courier New" w:hAnsi="Courier New"/>
          <w:color w:val="5A6475"/>
          <w:sz w:val="18"/>
          <w:szCs w:val="18"/>
        </w:rPr>
        <w:t xml:space="preserve">false</w:t>
      </w:r>
      <w:r>
        <w:rPr>
          <w:rFonts w:ascii="Arial" w:cs="Arial" w:eastAsia="Arial" w:hAnsi="Arial"/>
          <w:color w:val="0D0D0D"/>
          <w:sz w:val="22"/>
          <w:szCs w:val="22"/>
        </w:rPr>
        <w:t xml:space="preserve"> for 99.97% of sampled records (2 records classified incorrectly — minor, non-systemic).</w:t>
      </w:r>
    </w:p>
    <w:p>
      <w:pPr>
        <w:spacing w:before="0" w:after="160"/>
      </w:pPr>
    </w:p>
    <w:p>
      <w:r>
        <w:br w:type="page"/>
      </w:r>
    </w:p>
    <w:p>
      <w:pPr>
        <w:pStyle w:val="Heading1"/>
        <w:spacing w:before="360" w:after="120"/>
      </w:pPr>
      <w:r>
        <w:rPr>
          <w:rFonts w:ascii="Arial" w:cs="Arial" w:eastAsia="Arial" w:hAnsi="Arial"/>
          <w:b/>
          <w:bCs/>
          <w:color w:val="1B2A4A"/>
          <w:sz w:val="36"/>
          <w:szCs w:val="36"/>
        </w:rPr>
        <w:t xml:space="preserve">Section 4 — Ambiguity Resolution &amp; Human Oversight Logging</w:t>
      </w:r>
    </w:p>
    <w:p>
      <w:pPr>
        <w:pBdr>
          <w:bottom w:val="single" w:color="2E5FA3" w:sz="8" w:space="1"/>
        </w:pBdr>
        <w:spacing w:before="0" w:after="80"/>
      </w:pPr>
    </w:p>
    <w:p>
      <w:pPr>
        <w:spacing w:before="0" w:after="80"/>
      </w:pPr>
    </w:p>
    <w:p>
      <w:pPr>
        <w:spacing w:before="60" w:after="100"/>
      </w:pPr>
      <w:r>
        <w:rPr>
          <w:rFonts w:ascii="Arial" w:cs="Arial" w:eastAsia="Arial" w:hAnsi="Arial"/>
          <w:b/>
          <w:bCs/>
          <w:color w:val="0D0D0D"/>
          <w:sz w:val="22"/>
          <w:szCs w:val="22"/>
        </w:rPr>
        <w:t xml:space="preserve">Regulatory Basis: </w:t>
      </w:r>
      <w:r>
        <w:rPr>
          <w:rFonts w:ascii="Arial" w:cs="Arial" w:eastAsia="Arial" w:hAnsi="Arial"/>
          <w:color w:val="0D0D0D"/>
          <w:sz w:val="22"/>
          <w:szCs w:val="22"/>
        </w:rPr>
        <w:t xml:space="preserve">AI_Act_Art14 (Human oversight), AI_Act_Art12_Para1_PointE (logging of human oversight), AI_Act_Art14_Para4_PointD (ability to override), GDPR_Art5_Para1_PointC (data minimisation applied to reviewer identity), ISO 26262-2:2018 §6.4.11 (safety measures for human operators).</w:t>
      </w:r>
    </w:p>
    <w:p>
      <w:pPr>
        <w:spacing w:before="0" w:after="80"/>
      </w:pPr>
    </w:p>
    <w:p>
      <w:pPr>
        <w:pStyle w:val="Heading2"/>
        <w:spacing w:before="280" w:after="100"/>
      </w:pPr>
      <w:r>
        <w:rPr>
          <w:rFonts w:ascii="Arial" w:cs="Arial" w:eastAsia="Arial" w:hAnsi="Arial"/>
          <w:b/>
          <w:bCs/>
          <w:color w:val="2E5FA3"/>
          <w:sz w:val="28"/>
          <w:szCs w:val="28"/>
        </w:rPr>
        <w:t xml:space="preserve">4.1  Human Oversight Logging Architecture</w:t>
      </w:r>
    </w:p>
    <w:p>
      <w:pPr>
        <w:spacing w:before="60" w:after="100"/>
      </w:pPr>
      <w:r>
        <w:rPr>
          <w:rFonts w:ascii="Arial" w:cs="Arial" w:eastAsia="Arial" w:hAnsi="Arial"/>
          <w:color w:val="0D0D0D"/>
          <w:sz w:val="22"/>
          <w:szCs w:val="22"/>
        </w:rPr>
        <w:t xml:space="preserve">Article 14 of the EU AI Act mandates that high-risk AI systems be deployed with appropriate human oversight measures, including the technical capability to override, interrupt, or correct system outputs. Article 12 implicitly requires that the exercise of these oversight functions be captured in the audit log. The EU AI Act does not, however, specify the technical implementation of oversight logging, nor does it resolve the conflict between the legal obligation to identify the human reviewer and the GDPR data minimisation principle.</w:t>
      </w:r>
    </w:p>
    <w:p>
      <w:pPr>
        <w:spacing w:before="0" w:after="80"/>
      </w:pPr>
    </w:p>
    <w:p>
      <w:pPr>
        <w:spacing w:before="60" w:after="100"/>
      </w:pPr>
      <w:r>
        <w:rPr>
          <w:rFonts w:ascii="Arial" w:cs="Arial" w:eastAsia="Arial" w:hAnsi="Arial"/>
          <w:color w:val="0D0D0D"/>
          <w:sz w:val="22"/>
          <w:szCs w:val="22"/>
        </w:rPr>
        <w:t xml:space="preserve">The LXD Lambda transformation layer resolves this ambiguity (AG-006) through the following architecture: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Oversight Mode Field</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Enum: HUMAN_IN_THE_LOOP | HUMAN_ON_THE_LOOP | FULLY_AUTOMATED | HUMAN_IN_COMMAND</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Reviewer Identity</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Pseudonymised HMAC-SHA256 of employee ID, keyed with rotating 90-day key (AWS Secrets Manager)</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Identity Resolution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Full identity mapping maintained exclusively in AutoDrive GmbH HR system — not accessible via audit bucket IAM</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Override Flag</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Boolean: override_occurred — logged for all event types</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Override Reason Code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Enum: ACCURACY_CONCERN | ETHICAL_CONCERN | POLICY_VIOLATION | INSUFFICIENT_CONFIDENCE | CONTEXTUAL_JUDGMENT | OTHER</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Key Rotation Audit</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Key rotation events independently logged in CloudTrail WORM trail</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GDPR Lawful Basis for Logging</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Art. 6(1)(c) — Legal Obligation (EU AI Act Art. 12)</w:t>
            </w:r>
          </w:p>
        </w:tc>
      </w:tr>
    </w:tbl>
    <w:p>
      <w:pPr>
        <w:spacing w:before="0" w:after="80"/>
      </w:pPr>
    </w:p>
    <w:p>
      <w:pPr>
        <w:pStyle w:val="Heading2"/>
        <w:spacing w:before="280" w:after="100"/>
      </w:pPr>
      <w:r>
        <w:rPr>
          <w:rFonts w:ascii="Arial" w:cs="Arial" w:eastAsia="Arial" w:hAnsi="Arial"/>
          <w:b/>
          <w:bCs/>
          <w:color w:val="2E5FA3"/>
          <w:sz w:val="28"/>
          <w:szCs w:val="28"/>
        </w:rPr>
        <w:t xml:space="preserve">4.2  Compliance Gap CG-001 — Missing reviewer_id (Log #23901, #23902)</w:t>
      </w:r>
    </w:p>
    <w:p>
      <w:pPr>
        <w:spacing w:before="60" w:after="100"/>
      </w:pPr>
      <w:r>
        <w:rPr>
          <w:rFonts w:ascii="Arial" w:cs="Arial" w:eastAsia="Arial" w:hAnsi="Arial"/>
          <w:b/>
          <w:bCs/>
          <w:color w:val="0D0D0D"/>
          <w:sz w:val="22"/>
          <w:szCs w:val="22"/>
        </w:rPr>
        <w:t xml:space="preserve">[COMPLIANCE GAP CG-001 — SEVERITY: CRITICAL]</w:t>
      </w:r>
      <w:r>
        <w:rPr>
          <w:rFonts w:ascii="Arial" w:cs="Arial" w:eastAsia="Arial" w:hAnsi="Arial"/>
          <w:color w:val="0D0D0D"/>
          <w:sz w:val="22"/>
          <w:szCs w:val="22"/>
        </w:rPr>
        <w:t xml:space="preserve"> Log entries #23901 and #23902 are missing the </w:t>
      </w:r>
      <w:r>
        <w:rPr>
          <w:rFonts w:ascii="Courier New" w:cs="Courier New" w:eastAsia="Courier New" w:hAnsi="Courier New"/>
          <w:color w:val="5A6475"/>
          <w:sz w:val="18"/>
          <w:szCs w:val="18"/>
        </w:rPr>
        <w:t xml:space="preserve">reviewer_id</w:t>
      </w:r>
      <w:r>
        <w:rPr>
          <w:rFonts w:ascii="Arial" w:cs="Arial" w:eastAsia="Arial" w:hAnsi="Arial"/>
          <w:color w:val="0D0D0D"/>
          <w:sz w:val="22"/>
          <w:szCs w:val="22"/>
        </w:rPr>
        <w:t xml:space="preserve"> field (value is </w:t>
      </w:r>
      <w:r>
        <w:rPr>
          <w:rFonts w:ascii="Courier New" w:cs="Courier New" w:eastAsia="Courier New" w:hAnsi="Courier New"/>
          <w:color w:val="5A6475"/>
          <w:sz w:val="18"/>
          <w:szCs w:val="18"/>
        </w:rPr>
        <w:t xml:space="preserve">null</w:t>
      </w:r>
      <w:r>
        <w:rPr>
          <w:rFonts w:ascii="Arial" w:cs="Arial" w:eastAsia="Arial" w:hAnsi="Arial"/>
          <w:color w:val="0D0D0D"/>
          <w:sz w:val="22"/>
          <w:szCs w:val="22"/>
        </w:rPr>
        <w:t xml:space="preserve"> rather than a pseudonymised HMAC). These records correspond to the emergency safety override event at </w:t>
      </w:r>
      <w:r>
        <w:rPr>
          <w:rFonts w:ascii="Courier New" w:cs="Courier New" w:eastAsia="Courier New" w:hAnsi="Courier New"/>
          <w:color w:val="5A6475"/>
          <w:sz w:val="18"/>
          <w:szCs w:val="18"/>
        </w:rPr>
        <w:t xml:space="preserve">2026-02-27T22:58:31Z</w:t>
      </w:r>
      <w:r>
        <w:rPr>
          <w:rFonts w:ascii="Arial" w:cs="Arial" w:eastAsia="Arial" w:hAnsi="Arial"/>
          <w:color w:val="0D0D0D"/>
          <w:sz w:val="22"/>
          <w:szCs w:val="22"/>
        </w:rPr>
        <w:t xml:space="preserve">, during which a certified safety operator manually overrode the system's lane-change recommendation. The </w:t>
      </w:r>
      <w:r>
        <w:rPr>
          <w:rFonts w:ascii="Courier New" w:cs="Courier New" w:eastAsia="Courier New" w:hAnsi="Courier New"/>
          <w:color w:val="5A6475"/>
          <w:sz w:val="18"/>
          <w:szCs w:val="18"/>
        </w:rPr>
        <w:t xml:space="preserve">override_occurred</w:t>
      </w:r>
      <w:r>
        <w:rPr>
          <w:rFonts w:ascii="Arial" w:cs="Arial" w:eastAsia="Arial" w:hAnsi="Arial"/>
          <w:color w:val="0D0D0D"/>
          <w:sz w:val="22"/>
          <w:szCs w:val="22"/>
        </w:rPr>
        <w:t xml:space="preserve"> field is correctly set to </w:t>
      </w:r>
      <w:r>
        <w:rPr>
          <w:rFonts w:ascii="Courier New" w:cs="Courier New" w:eastAsia="Courier New" w:hAnsi="Courier New"/>
          <w:color w:val="5A6475"/>
          <w:sz w:val="18"/>
          <w:szCs w:val="18"/>
        </w:rPr>
        <w:t xml:space="preserve">true</w:t>
      </w:r>
      <w:r>
        <w:rPr>
          <w:rFonts w:ascii="Arial" w:cs="Arial" w:eastAsia="Arial" w:hAnsi="Arial"/>
          <w:color w:val="0D0D0D"/>
          <w:sz w:val="22"/>
          <w:szCs w:val="22"/>
        </w:rPr>
        <w:t xml:space="preserve">, and the </w:t>
      </w:r>
      <w:r>
        <w:rPr>
          <w:rFonts w:ascii="Courier New" w:cs="Courier New" w:eastAsia="Courier New" w:hAnsi="Courier New"/>
          <w:color w:val="5A6475"/>
          <w:sz w:val="18"/>
          <w:szCs w:val="18"/>
        </w:rPr>
        <w:t xml:space="preserve">override_reason_code</w:t>
      </w:r>
      <w:r>
        <w:rPr>
          <w:rFonts w:ascii="Arial" w:cs="Arial" w:eastAsia="Arial" w:hAnsi="Arial"/>
          <w:color w:val="0D0D0D"/>
          <w:sz w:val="22"/>
          <w:szCs w:val="22"/>
        </w:rPr>
        <w:t xml:space="preserve"> is recorded as </w:t>
      </w:r>
      <w:r>
        <w:rPr>
          <w:rFonts w:ascii="Courier New" w:cs="Courier New" w:eastAsia="Courier New" w:hAnsi="Courier New"/>
          <w:color w:val="5A6475"/>
          <w:sz w:val="18"/>
          <w:szCs w:val="18"/>
        </w:rPr>
        <w:t xml:space="preserve">CONTEXTUAL_JUDGMENT</w:t>
      </w:r>
      <w:r>
        <w:rPr>
          <w:rFonts w:ascii="Arial" w:cs="Arial" w:eastAsia="Arial" w:hAnsi="Arial"/>
          <w:color w:val="0D0D0D"/>
          <w:sz w:val="22"/>
          <w:szCs w:val="22"/>
        </w:rPr>
        <w:t xml:space="preserve">. However, the absence of the pseudonymised reviewer identity means this human oversight event cannot be fully attributed.</w:t>
      </w:r>
    </w:p>
    <w:p>
      <w:pPr>
        <w:spacing w:before="0" w:after="60"/>
      </w:pPr>
    </w:p>
    <w:p>
      <w:pPr>
        <w:spacing w:before="60" w:after="100"/>
      </w:pPr>
      <w:r>
        <w:rPr>
          <w:rFonts w:ascii="Arial" w:cs="Arial" w:eastAsia="Arial" w:hAnsi="Arial"/>
          <w:b/>
          <w:bCs/>
          <w:color w:val="0D0D0D"/>
          <w:sz w:val="22"/>
          <w:szCs w:val="22"/>
        </w:rPr>
        <w:t xml:space="preserve">Root Cause: </w:t>
      </w:r>
      <w:r>
        <w:rPr>
          <w:rFonts w:ascii="Arial" w:cs="Arial" w:eastAsia="Arial" w:hAnsi="Arial"/>
          <w:color w:val="0D0D0D"/>
          <w:sz w:val="22"/>
          <w:szCs w:val="22"/>
        </w:rPr>
        <w:t xml:space="preserve">The emergency override pathway in the SDV operator HMI does not transmit an operator session token to the LXD Lambda ingest endpoint during time-critical interventions (design latency &lt; 200ms). This is an architectural gap in the HMI-to-logging integration.</w:t>
      </w:r>
    </w:p>
    <w:p>
      <w:pPr>
        <w:spacing w:before="0" w:after="60"/>
      </w:pPr>
    </w:p>
    <w:p>
      <w:pPr>
        <w:spacing w:before="60" w:after="100"/>
      </w:pPr>
      <w:r>
        <w:rPr>
          <w:rFonts w:ascii="Arial" w:cs="Arial" w:eastAsia="Arial" w:hAnsi="Arial"/>
          <w:b/>
          <w:bCs/>
          <w:color w:val="0D0D0D"/>
          <w:sz w:val="22"/>
          <w:szCs w:val="22"/>
        </w:rPr>
        <w:t xml:space="preserve">Impact: </w:t>
      </w:r>
      <w:r>
        <w:rPr>
          <w:rFonts w:ascii="Arial" w:cs="Arial" w:eastAsia="Arial" w:hAnsi="Arial"/>
          <w:color w:val="0D0D0D"/>
          <w:sz w:val="22"/>
          <w:szCs w:val="22"/>
        </w:rPr>
        <w:t xml:space="preserve">Under </w:t>
      </w:r>
      <w:r>
        <w:rPr>
          <w:rFonts w:ascii="Arial" w:cs="Arial" w:eastAsia="Arial" w:hAnsi="Arial"/>
          <w:b/>
          <w:bCs/>
          <w:color w:val="0D0D0D"/>
          <w:sz w:val="22"/>
          <w:szCs w:val="22"/>
        </w:rPr>
        <w:t xml:space="preserve">AI_Act_Art14_Para4_PointD</w:t>
      </w:r>
      <w:r>
        <w:rPr>
          <w:rFonts w:ascii="Arial" w:cs="Arial" w:eastAsia="Arial" w:hAnsi="Arial"/>
          <w:color w:val="0D0D0D"/>
          <w:sz w:val="22"/>
          <w:szCs w:val="22"/>
        </w:rPr>
        <w:t xml:space="preserve">, the deployer must be able to demonstrate that the override function was exercised by a competent, designated individual. The null </w:t>
      </w:r>
      <w:r>
        <w:rPr>
          <w:rFonts w:ascii="Courier New" w:cs="Courier New" w:eastAsia="Courier New" w:hAnsi="Courier New"/>
          <w:color w:val="5A6475"/>
          <w:sz w:val="18"/>
          <w:szCs w:val="18"/>
        </w:rPr>
        <w:t xml:space="preserve">reviewer_id</w:t>
      </w:r>
      <w:r>
        <w:rPr>
          <w:rFonts w:ascii="Arial" w:cs="Arial" w:eastAsia="Arial" w:hAnsi="Arial"/>
          <w:color w:val="0D0D0D"/>
          <w:sz w:val="22"/>
          <w:szCs w:val="22"/>
        </w:rPr>
        <w:t xml:space="preserve"> prevents this demonstration for the 27 February incident. Under ISO 26262-2:2018 §6.4.11, safety operator actions must be recorded for post-incident analysis. This gap therefore has dual regulatory and safety implications and is classified </w:t>
      </w:r>
      <w:r>
        <w:rPr>
          <w:rFonts w:ascii="Arial" w:cs="Arial" w:eastAsia="Arial" w:hAnsi="Arial"/>
          <w:b/>
          <w:bCs/>
          <w:color w:val="0D0D0D"/>
          <w:sz w:val="22"/>
          <w:szCs w:val="22"/>
        </w:rPr>
        <w:t xml:space="preserve">CRITICAL</w:t>
      </w:r>
      <w:r>
        <w:rPr>
          <w:rFonts w:ascii="Arial" w:cs="Arial" w:eastAsia="Arial" w:hAnsi="Arial"/>
          <w:color w:val="0D0D0D"/>
          <w:sz w:val="22"/>
          <w:szCs w:val="22"/>
        </w:rPr>
        <w:t xml:space="preserve">.</w:t>
      </w:r>
    </w:p>
    <w:p>
      <w:pPr>
        <w:spacing w:before="0" w:after="60"/>
      </w:pPr>
    </w:p>
    <w:p>
      <w:pPr>
        <w:spacing w:before="60" w:after="100"/>
      </w:pPr>
      <w:r>
        <w:rPr>
          <w:rFonts w:ascii="Arial" w:cs="Arial" w:eastAsia="Arial" w:hAnsi="Arial"/>
          <w:b/>
          <w:bCs/>
          <w:color w:val="0D0D0D"/>
          <w:sz w:val="22"/>
          <w:szCs w:val="22"/>
        </w:rPr>
        <w:t xml:space="preserve">Remediation (Required within 30 days): </w:t>
      </w:r>
      <w:r>
        <w:rPr>
          <w:rFonts w:ascii="Arial" w:cs="Arial" w:eastAsia="Arial" w:hAnsi="Arial"/>
          <w:color w:val="0D0D0D"/>
          <w:sz w:val="22"/>
          <w:szCs w:val="22"/>
        </w:rPr>
        <w:t xml:space="preserve">The HMI firmware must be updated to transmit an asynchronous reviewer token within 5 seconds post-override via a dedicated telemetry channel. An amendment record must be created for log entries #23901 and #23902 once the operator identity is confirmed via the AutoDrive HR system, to be documented under </w:t>
      </w:r>
      <w:r>
        <w:rPr>
          <w:rFonts w:ascii="Arial" w:cs="Arial" w:eastAsia="Arial" w:hAnsi="Arial"/>
          <w:b/>
          <w:bCs/>
          <w:color w:val="0D0D0D"/>
          <w:sz w:val="22"/>
          <w:szCs w:val="22"/>
        </w:rPr>
        <w:t xml:space="preserve">ASPICE v4.0 CHG.1</w:t>
      </w:r>
      <w:r>
        <w:rPr>
          <w:rFonts w:ascii="Arial" w:cs="Arial" w:eastAsia="Arial" w:hAnsi="Arial"/>
          <w:color w:val="0D0D0D"/>
          <w:sz w:val="22"/>
          <w:szCs w:val="22"/>
        </w:rPr>
        <w:t xml:space="preserve"> with full change rationale.</w:t>
      </w:r>
    </w:p>
    <w:p>
      <w:pPr>
        <w:spacing w:before="0" w:after="80"/>
      </w:pPr>
    </w:p>
    <w:p>
      <w:pPr>
        <w:pStyle w:val="Heading2"/>
        <w:spacing w:before="280" w:after="100"/>
      </w:pPr>
      <w:r>
        <w:rPr>
          <w:rFonts w:ascii="Arial" w:cs="Arial" w:eastAsia="Arial" w:hAnsi="Arial"/>
          <w:b/>
          <w:bCs/>
          <w:color w:val="2E5FA3"/>
          <w:sz w:val="28"/>
          <w:szCs w:val="28"/>
        </w:rPr>
        <w:t xml:space="preserve">4.3  Compliance Gap CG-003 — Ambiguous oversight_mode Field (Batch Events)</w:t>
      </w:r>
    </w:p>
    <w:p>
      <w:pPr>
        <w:spacing w:before="60" w:after="100"/>
      </w:pPr>
      <w:r>
        <w:rPr>
          <w:rFonts w:ascii="Arial" w:cs="Arial" w:eastAsia="Arial" w:hAnsi="Arial"/>
          <w:b/>
          <w:bCs/>
          <w:color w:val="0D0D0D"/>
          <w:sz w:val="22"/>
          <w:szCs w:val="22"/>
        </w:rPr>
        <w:t xml:space="preserve">[COMPLIANCE GAP CG-003 — SEVERITY: MEDIUM]</w:t>
      </w:r>
      <w:r>
        <w:rPr>
          <w:rFonts w:ascii="Arial" w:cs="Arial" w:eastAsia="Arial" w:hAnsi="Arial"/>
          <w:color w:val="0D0D0D"/>
          <w:sz w:val="22"/>
          <w:szCs w:val="22"/>
        </w:rPr>
        <w:t xml:space="preserve"> Audit of 47 batch inference events (event type </w:t>
      </w:r>
      <w:r>
        <w:rPr>
          <w:rFonts w:ascii="Courier New" w:cs="Courier New" w:eastAsia="Courier New" w:hAnsi="Courier New"/>
          <w:color w:val="5A6475"/>
          <w:sz w:val="18"/>
          <w:szCs w:val="18"/>
        </w:rPr>
        <w:t xml:space="preserve">BATCH_INFERENCE</w:t>
      </w:r>
      <w:r>
        <w:rPr>
          <w:rFonts w:ascii="Arial" w:cs="Arial" w:eastAsia="Arial" w:hAnsi="Arial"/>
          <w:color w:val="0D0D0D"/>
          <w:sz w:val="22"/>
          <w:szCs w:val="22"/>
        </w:rPr>
        <w:t xml:space="preserve">) found that the </w:t>
      </w:r>
      <w:r>
        <w:rPr>
          <w:rFonts w:ascii="Courier New" w:cs="Courier New" w:eastAsia="Courier New" w:hAnsi="Courier New"/>
          <w:color w:val="5A6475"/>
          <w:sz w:val="18"/>
          <w:szCs w:val="18"/>
        </w:rPr>
        <w:t xml:space="preserve">oversight_mode</w:t>
      </w:r>
      <w:r>
        <w:rPr>
          <w:rFonts w:ascii="Arial" w:cs="Arial" w:eastAsia="Arial" w:hAnsi="Arial"/>
          <w:color w:val="0D0D0D"/>
          <w:sz w:val="22"/>
          <w:szCs w:val="22"/>
        </w:rPr>
        <w:t xml:space="preserve"> field is uniformly set to </w:t>
      </w:r>
      <w:r>
        <w:rPr>
          <w:rFonts w:ascii="Courier New" w:cs="Courier New" w:eastAsia="Courier New" w:hAnsi="Courier New"/>
          <w:color w:val="5A6475"/>
          <w:sz w:val="18"/>
          <w:szCs w:val="18"/>
        </w:rPr>
        <w:t xml:space="preserve">FULLY_AUTOMATED</w:t>
      </w:r>
      <w:r>
        <w:rPr>
          <w:rFonts w:ascii="Arial" w:cs="Arial" w:eastAsia="Arial" w:hAnsi="Arial"/>
          <w:color w:val="0D0D0D"/>
          <w:sz w:val="22"/>
          <w:szCs w:val="22"/>
        </w:rPr>
        <w:t xml:space="preserve"> without a corresponding </w:t>
      </w:r>
      <w:r>
        <w:rPr>
          <w:rFonts w:ascii="Courier New" w:cs="Courier New" w:eastAsia="Courier New" w:hAnsi="Courier New"/>
          <w:color w:val="5A6475"/>
          <w:sz w:val="18"/>
          <w:szCs w:val="18"/>
        </w:rPr>
        <w:t xml:space="preserve">human_review_occurred</w:t>
      </w:r>
      <w:r>
        <w:rPr>
          <w:rFonts w:ascii="Arial" w:cs="Arial" w:eastAsia="Arial" w:hAnsi="Arial"/>
          <w:color w:val="0D0D0D"/>
          <w:sz w:val="22"/>
          <w:szCs w:val="22"/>
        </w:rPr>
        <w:t xml:space="preserve"> entry or any downstream review record within the session. Under Article 14(3), even automated high-risk AI decisions must be subject to post-hoc human review within a defined period. The logs do not capture whether this review occurred or its outcome.</w:t>
      </w:r>
    </w:p>
    <w:p>
      <w:pPr>
        <w:spacing w:before="0" w:after="60"/>
      </w:pPr>
    </w:p>
    <w:p>
      <w:pPr>
        <w:spacing w:before="60" w:after="100"/>
      </w:pPr>
      <w:r>
        <w:rPr>
          <w:rFonts w:ascii="Arial" w:cs="Arial" w:eastAsia="Arial" w:hAnsi="Arial"/>
          <w:b/>
          <w:bCs/>
          <w:color w:val="0D0D0D"/>
          <w:sz w:val="22"/>
          <w:szCs w:val="22"/>
        </w:rPr>
        <w:t xml:space="preserve">Remediation (Required within 30 days): </w:t>
      </w:r>
      <w:r>
        <w:rPr>
          <w:rFonts w:ascii="Arial" w:cs="Arial" w:eastAsia="Arial" w:hAnsi="Arial"/>
          <w:color w:val="0D0D0D"/>
          <w:sz w:val="22"/>
          <w:szCs w:val="22"/>
        </w:rPr>
        <w:t xml:space="preserve">Implement a deferred oversight record schema: a secondary log entry, linked by </w:t>
      </w:r>
      <w:r>
        <w:rPr>
          <w:rFonts w:ascii="Courier New" w:cs="Courier New" w:eastAsia="Courier New" w:hAnsi="Courier New"/>
          <w:color w:val="5A6475"/>
          <w:sz w:val="18"/>
          <w:szCs w:val="18"/>
        </w:rPr>
        <w:t xml:space="preserve">session_id</w:t>
      </w:r>
      <w:r>
        <w:rPr>
          <w:rFonts w:ascii="Arial" w:cs="Arial" w:eastAsia="Arial" w:hAnsi="Arial"/>
          <w:color w:val="0D0D0D"/>
          <w:sz w:val="22"/>
          <w:szCs w:val="22"/>
        </w:rPr>
        <w:t xml:space="preserve">, must be generated upon completion of the post-hoc human review, capturing </w:t>
      </w:r>
      <w:r>
        <w:rPr>
          <w:rFonts w:ascii="Courier New" w:cs="Courier New" w:eastAsia="Courier New" w:hAnsi="Courier New"/>
          <w:color w:val="5A6475"/>
          <w:sz w:val="18"/>
          <w:szCs w:val="18"/>
        </w:rPr>
        <w:t xml:space="preserve">human_review_occurred: true</w:t>
      </w:r>
      <w:r>
        <w:rPr>
          <w:rFonts w:ascii="Arial" w:cs="Arial" w:eastAsia="Arial" w:hAnsi="Arial"/>
          <w:color w:val="0D0D0D"/>
          <w:sz w:val="22"/>
          <w:szCs w:val="22"/>
        </w:rPr>
        <w:t xml:space="preserve">, </w:t>
      </w:r>
      <w:r>
        <w:rPr>
          <w:rFonts w:ascii="Courier New" w:cs="Courier New" w:eastAsia="Courier New" w:hAnsi="Courier New"/>
          <w:color w:val="5A6475"/>
          <w:sz w:val="18"/>
          <w:szCs w:val="18"/>
        </w:rPr>
        <w:t xml:space="preserve">reviewer_id</w:t>
      </w:r>
      <w:r>
        <w:rPr>
          <w:rFonts w:ascii="Arial" w:cs="Arial" w:eastAsia="Arial" w:hAnsi="Arial"/>
          <w:color w:val="0D0D0D"/>
          <w:sz w:val="22"/>
          <w:szCs w:val="22"/>
        </w:rPr>
        <w:t xml:space="preserve">, and </w:t>
      </w:r>
      <w:r>
        <w:rPr>
          <w:rFonts w:ascii="Courier New" w:cs="Courier New" w:eastAsia="Courier New" w:hAnsi="Courier New"/>
          <w:color w:val="5A6475"/>
          <w:sz w:val="18"/>
          <w:szCs w:val="18"/>
        </w:rPr>
        <w:t xml:space="preserve">output_acted_upon</w:t>
      </w:r>
      <w:r>
        <w:rPr>
          <w:rFonts w:ascii="Arial" w:cs="Arial" w:eastAsia="Arial" w:hAnsi="Arial"/>
          <w:color w:val="0D0D0D"/>
          <w:sz w:val="22"/>
          <w:szCs w:val="22"/>
        </w:rPr>
        <w:t xml:space="preserve">. The maximum permitted review lag must be specified in the deployer's Risk Management documentation per </w:t>
      </w:r>
      <w:r>
        <w:rPr>
          <w:rFonts w:ascii="Arial" w:cs="Arial" w:eastAsia="Arial" w:hAnsi="Arial"/>
          <w:b/>
          <w:bCs/>
          <w:color w:val="0D0D0D"/>
          <w:sz w:val="22"/>
          <w:szCs w:val="22"/>
        </w:rPr>
        <w:t xml:space="preserve">AI_Act_Art9_Para2</w:t>
      </w:r>
      <w:r>
        <w:rPr>
          <w:rFonts w:ascii="Arial" w:cs="Arial" w:eastAsia="Arial" w:hAnsi="Arial"/>
          <w:color w:val="0D0D0D"/>
          <w:sz w:val="22"/>
          <w:szCs w:val="22"/>
        </w:rPr>
        <w:t xml:space="preserve">.</w:t>
      </w:r>
    </w:p>
    <w:p>
      <w:pPr>
        <w:spacing w:before="0" w:after="80"/>
      </w:pPr>
    </w:p>
    <w:p>
      <w:pPr>
        <w:pStyle w:val="Heading2"/>
        <w:spacing w:before="280" w:after="100"/>
      </w:pPr>
      <w:r>
        <w:rPr>
          <w:rFonts w:ascii="Arial" w:cs="Arial" w:eastAsia="Arial" w:hAnsi="Arial"/>
          <w:b/>
          <w:bCs/>
          <w:color w:val="2E5FA3"/>
          <w:sz w:val="28"/>
          <w:szCs w:val="28"/>
        </w:rPr>
        <w:t xml:space="preserve">4.4  Ambiguity Resolution Register — Applied Assumptions</w:t>
      </w:r>
    </w:p>
    <w:p>
      <w:pPr>
        <w:spacing w:before="0" w:after="40"/>
      </w:pPr>
    </w:p>
    <w:p>
      <w:pPr>
        <w:spacing w:before="60" w:after="100"/>
      </w:pPr>
      <w:r>
        <w:rPr>
          <w:rFonts w:ascii="Arial" w:cs="Arial" w:eastAsia="Arial" w:hAnsi="Arial"/>
          <w:color w:val="0D0D0D"/>
          <w:sz w:val="22"/>
          <w:szCs w:val="22"/>
        </w:rPr>
        <w:t xml:space="preserve">The following LXD Ambiguity Resolutions (as formalised in the Regulatory Dictionary JSON Schema v1.0.0) were applied in the design of the logging toolchain and are confirmed as correctly implemented in production: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AG-001 (Timestamp Precision)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IMPLEMENTED — Millisecond UTC precision; AWS PTP clock source verified active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AG-002 (Version Scope)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IMPLEMENTED — Three-dimensional version capture confirmed in all non-gap records</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AG-003 (Period of Use)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IMPLEMENTED — Wall-clock end-to-end latency in ms confirmed in all records</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AG-004 (Input Data Minimisation)</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IMPLEMENTED — Hash + categorical metadata only in primary vault; payload in isolated bucket</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AG-005 (Confidence Scores)</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IMPLEMENTED — confidence_score_available flag present in 100% of sampled inference records</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AG-006 (Reviewer Identity)</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PARTIALLY IMPLEMENTED — HMAC pseudonymisation operational; gap in override pathway (CG-001)</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AG-007 (Serious Incident Detection)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IMPLEMENTED — serious_incident_flag correctly set to true for #23901/#23902 sequence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AG-008 (Retention Period)</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IMPLEMENTED — 10-year S3 Object Lock COMPLIANCE mode active; Glacier transition at 3 years</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AG-009 (Meta-Audit of Logging Act)</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IMPLEMENTED — CloudTrail WORM trail capturing all PutObject events</w:t>
            </w:r>
          </w:p>
        </w:tc>
      </w:tr>
    </w:tbl>
    <w:p>
      <w:pPr>
        <w:spacing w:before="0" w:after="160"/>
      </w:pPr>
    </w:p>
    <w:p>
      <w:r>
        <w:br w:type="page"/>
      </w:r>
    </w:p>
    <w:p>
      <w:pPr>
        <w:pStyle w:val="Heading1"/>
        <w:spacing w:before="360" w:after="120"/>
      </w:pPr>
      <w:r>
        <w:rPr>
          <w:rFonts w:ascii="Arial" w:cs="Arial" w:eastAsia="Arial" w:hAnsi="Arial"/>
          <w:b/>
          <w:bCs/>
          <w:color w:val="1B2A4A"/>
          <w:sz w:val="36"/>
          <w:szCs w:val="36"/>
        </w:rPr>
        <w:t xml:space="preserve">Section 5 — Consolidated Compliance Gap Register</w:t>
      </w:r>
    </w:p>
    <w:p>
      <w:pPr>
        <w:pBdr>
          <w:bottom w:val="single" w:color="2E5FA3" w:sz="8" w:space="1"/>
        </w:pBdr>
        <w:spacing w:before="0" w:after="80"/>
      </w:pPr>
    </w:p>
    <w:p>
      <w:pPr>
        <w:spacing w:before="0" w:after="80"/>
      </w:pPr>
    </w:p>
    <w:p>
      <w:pPr>
        <w:spacing w:before="60" w:after="100"/>
      </w:pPr>
      <w:r>
        <w:rPr>
          <w:rFonts w:ascii="Arial" w:cs="Arial" w:eastAsia="Arial" w:hAnsi="Arial"/>
          <w:color w:val="0D0D0D"/>
          <w:sz w:val="22"/>
          <w:szCs w:val="22"/>
        </w:rPr>
        <w:t xml:space="preserve">The following Compliance Gaps require formal remediation. Each gap must be closed and evidenced to the LXD Advisory Lead Regulatory Auditor within the specified timeframe. Closure evidence must be persisted in the S3 Immutable Vault under the prefix:</w:t>
      </w:r>
    </w:p>
    <w:p>
      <w:pPr>
        <w:spacing w:before="0" w:after="40"/>
      </w:pPr>
    </w:p>
    <w:p>
      <w:pPr>
        <w:spacing w:before="60" w:after="100"/>
      </w:pPr>
      <w:r>
        <w:rPr>
          <w:rFonts w:ascii="Courier New" w:cs="Courier New" w:eastAsia="Courier New" w:hAnsi="Courier New"/>
          <w:color w:val="5A6475"/>
          <w:sz w:val="18"/>
          <w:szCs w:val="18"/>
        </w:rPr>
        <w:t xml:space="preserve">audit-trail/eu-ai-act/art12/gap-remediation/{gap_id}/{YYYY}/{MM}/{DD}/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900"/>
        <w:gridCol w:w="3660"/>
      </w:tblGrid>
      <w:tr>
        <w:tc>
          <w:tcPr>
            <w:tcW w:type="dxa" w:w="1000"/>
            <w:tcBorders>
              <w:top w:val="single" w:color="D0D7E3" w:sz="1"/>
              <w:left w:val="single" w:color="D0D7E3" w:sz="1"/>
              <w:bottom w:val="single" w:color="D0D7E3" w:sz="1"/>
              <w:right w:val="single" w:color="D0D7E3"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Gap ID</w:t>
            </w:r>
          </w:p>
        </w:tc>
        <w:tc>
          <w:tcPr>
            <w:tcW w:type="dxa" w:w="1800"/>
            <w:tcBorders>
              <w:top w:val="single" w:color="D0D7E3" w:sz="1"/>
              <w:left w:val="single" w:color="D0D7E3" w:sz="1"/>
              <w:bottom w:val="single" w:color="D0D7E3" w:sz="1"/>
              <w:right w:val="single" w:color="D0D7E3"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Missing Field</w:t>
            </w:r>
          </w:p>
        </w:tc>
        <w:tc>
          <w:tcPr>
            <w:tcW w:type="dxa" w:w="2000"/>
            <w:tcBorders>
              <w:top w:val="single" w:color="D0D7E3" w:sz="1"/>
              <w:left w:val="single" w:color="D0D7E3" w:sz="1"/>
              <w:bottom w:val="single" w:color="D0D7E3" w:sz="1"/>
              <w:right w:val="single" w:color="D0D7E3"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Regulatory Ref.</w:t>
            </w:r>
          </w:p>
        </w:tc>
        <w:tc>
          <w:tcPr>
            <w:tcW w:type="dxa" w:w="900"/>
            <w:tcBorders>
              <w:top w:val="single" w:color="D0D7E3" w:sz="1"/>
              <w:left w:val="single" w:color="D0D7E3" w:sz="1"/>
              <w:bottom w:val="single" w:color="D0D7E3" w:sz="1"/>
              <w:right w:val="single" w:color="D0D7E3"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60"/>
            <w:tcBorders>
              <w:top w:val="single" w:color="D0D7E3" w:sz="1"/>
              <w:left w:val="single" w:color="D0D7E3" w:sz="1"/>
              <w:bottom w:val="single" w:color="D0D7E3" w:sz="1"/>
              <w:right w:val="single" w:color="D0D7E3"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Remediation Action</w:t>
            </w:r>
          </w:p>
        </w:tc>
      </w:tr>
      <w:tr>
        <w:tc>
          <w:tcPr>
            <w:tcW w:type="dxa" w:w="10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Courier New" w:cs="Courier New" w:eastAsia="Courier New" w:hAnsi="Courier New"/>
                <w:b w:val="false"/>
                <w:bCs w:val="false"/>
                <w:color w:val="0D0D0D"/>
                <w:sz w:val="20"/>
                <w:szCs w:val="20"/>
              </w:rPr>
              <w:t xml:space="preserve">CG-001</w:t>
            </w:r>
          </w:p>
        </w:tc>
        <w:tc>
          <w:tcPr>
            <w:tcW w:type="dxa" w:w="18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reviewer_id</w:t>
            </w:r>
          </w:p>
        </w:tc>
        <w:tc>
          <w:tcPr>
            <w:tcW w:type="dxa" w:w="20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AI_Act_Art14_Para4_PointD; ISO 26262-2 §6.4.11</w:t>
            </w:r>
          </w:p>
        </w:tc>
        <w:tc>
          <w:tcPr>
            <w:tcW w:type="dxa" w:w="9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bCs/>
                <w:color w:val="C0392B"/>
                <w:sz w:val="20"/>
                <w:szCs w:val="20"/>
              </w:rPr>
              <w:t xml:space="preserve">CRITICAL</w:t>
            </w:r>
          </w:p>
        </w:tc>
        <w:tc>
          <w:tcPr>
            <w:tcW w:type="dxa" w:w="366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HMI firmware update to transmit async operator token on override path within 5s. Retrospective amendment for #23901/#23902.</w:t>
            </w:r>
          </w:p>
        </w:tc>
      </w:tr>
      <w:tr>
        <w:tc>
          <w:tcPr>
            <w:tcW w:type="dxa" w:w="1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Courier New" w:cs="Courier New" w:eastAsia="Courier New" w:hAnsi="Courier New"/>
                <w:b w:val="false"/>
                <w:bCs w:val="false"/>
                <w:color w:val="0D0D0D"/>
                <w:sz w:val="20"/>
                <w:szCs w:val="20"/>
              </w:rPr>
              <w:t xml:space="preserve">CG-002</w:t>
            </w:r>
          </w:p>
        </w:tc>
        <w:tc>
          <w:tcPr>
            <w:tcW w:type="dxa" w:w="18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val="false"/>
                <w:bCs w:val="false"/>
                <w:color w:val="0D0D0D"/>
                <w:sz w:val="20"/>
                <w:szCs w:val="20"/>
              </w:rPr>
              <w:t xml:space="preserve">input_hash_sha256</w:t>
            </w:r>
          </w:p>
        </w:tc>
        <w:tc>
          <w:tcPr>
            <w:tcW w:type="dxa" w:w="20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val="false"/>
                <w:bCs w:val="false"/>
                <w:color w:val="0D0D0D"/>
                <w:sz w:val="20"/>
                <w:szCs w:val="20"/>
              </w:rPr>
              <w:t xml:space="preserve">AI_Act_Art12_Para1_PointC; ISO 26262-4 §7.4.6</w:t>
            </w:r>
          </w:p>
        </w:tc>
        <w:tc>
          <w:tcPr>
            <w:tcW w:type="dxa" w:w="90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bCs/>
                <w:color w:val="D68910"/>
                <w:sz w:val="20"/>
                <w:szCs w:val="20"/>
              </w:rPr>
              <w:t xml:space="preserve">HIGH</w:t>
            </w:r>
          </w:p>
        </w:tc>
        <w:tc>
          <w:tcPr>
            <w:tcW w:type="dxa" w:w="3660"/>
            <w:tcBorders>
              <w:top w:val="single" w:color="D0D7E3" w:sz="1"/>
              <w:left w:val="single" w:color="D0D7E3" w:sz="1"/>
              <w:bottom w:val="single" w:color="D0D7E3" w:sz="1"/>
              <w:right w:val="single" w:color="D0D7E3" w:sz="1"/>
            </w:tcBorders>
            <w:shd w:fill="FFFFFF" w:val="clear"/>
            <w:tcMar>
              <w:top w:type="dxa" w:w="60"/>
              <w:left w:type="dxa" w:w="120"/>
              <w:bottom w:type="dxa" w:w="60"/>
              <w:right w:type="dxa" w:w="120"/>
            </w:tcMar>
          </w:tcPr>
          <w:p>
            <w:r>
              <w:rPr>
                <w:rFonts w:ascii="Arial" w:cs="Arial" w:eastAsia="Arial" w:hAnsi="Arial"/>
                <w:b w:val="false"/>
                <w:bCs w:val="false"/>
                <w:color w:val="0D0D0D"/>
                <w:sz w:val="20"/>
                <w:szCs w:val="20"/>
              </w:rPr>
              <w:t xml:space="preserve">Lambda ingest updated to invoke hash computation on all event types. Retrospective hash appended to #23901/#23902.</w:t>
            </w:r>
          </w:p>
        </w:tc>
      </w:tr>
      <w:tr>
        <w:tc>
          <w:tcPr>
            <w:tcW w:type="dxa" w:w="10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Courier New" w:cs="Courier New" w:eastAsia="Courier New" w:hAnsi="Courier New"/>
                <w:b w:val="false"/>
                <w:bCs w:val="false"/>
                <w:color w:val="0D0D0D"/>
                <w:sz w:val="20"/>
                <w:szCs w:val="20"/>
              </w:rPr>
              <w:t xml:space="preserve">CG-003</w:t>
            </w:r>
          </w:p>
        </w:tc>
        <w:tc>
          <w:tcPr>
            <w:tcW w:type="dxa" w:w="18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human_review_occurred (batch)</w:t>
            </w:r>
          </w:p>
        </w:tc>
        <w:tc>
          <w:tcPr>
            <w:tcW w:type="dxa" w:w="20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AI_Act_Art14_Para3; AI_Act_Art9_Para2</w:t>
            </w:r>
          </w:p>
        </w:tc>
        <w:tc>
          <w:tcPr>
            <w:tcW w:type="dxa" w:w="90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bCs/>
                <w:color w:val="D68910"/>
                <w:sz w:val="20"/>
                <w:szCs w:val="20"/>
              </w:rPr>
              <w:t xml:space="preserve">MEDIUM</w:t>
            </w:r>
          </w:p>
        </w:tc>
        <w:tc>
          <w:tcPr>
            <w:tcW w:type="dxa" w:w="3660"/>
            <w:tcBorders>
              <w:top w:val="single" w:color="D0D7E3" w:sz="1"/>
              <w:left w:val="single" w:color="D0D7E3" w:sz="1"/>
              <w:bottom w:val="single" w:color="D0D7E3" w:sz="1"/>
              <w:right w:val="single" w:color="D0D7E3" w:sz="1"/>
            </w:tcBorders>
            <w:shd w:fill="FDF0EF" w:val="clear"/>
            <w:tcMar>
              <w:top w:type="dxa" w:w="60"/>
              <w:left w:type="dxa" w:w="120"/>
              <w:bottom w:type="dxa" w:w="60"/>
              <w:right w:type="dxa" w:w="120"/>
            </w:tcMar>
          </w:tcPr>
          <w:p>
            <w:r>
              <w:rPr>
                <w:rFonts w:ascii="Arial" w:cs="Arial" w:eastAsia="Arial" w:hAnsi="Arial"/>
                <w:b w:val="false"/>
                <w:bCs w:val="false"/>
                <w:color w:val="0D0D0D"/>
                <w:sz w:val="20"/>
                <w:szCs w:val="20"/>
              </w:rPr>
              <w:t xml:space="preserve">Deferred oversight record schema implemented. Post-hoc review lag bound formalised in Risk Management docs.</w:t>
            </w:r>
          </w:p>
        </w:tc>
      </w:tr>
    </w:tbl>
    <w:p>
      <w:pPr>
        <w:spacing w:before="0" w:after="120"/>
      </w:pPr>
    </w:p>
    <w:p>
      <w:pPr>
        <w:spacing w:before="60" w:after="100"/>
      </w:pPr>
      <w:r>
        <w:rPr>
          <w:rFonts w:ascii="Arial" w:cs="Arial" w:eastAsia="Arial" w:hAnsi="Arial"/>
          <w:b/>
          <w:bCs/>
          <w:color w:val="0D0D0D"/>
          <w:sz w:val="22"/>
          <w:szCs w:val="22"/>
        </w:rPr>
        <w:t xml:space="preserve">Remediation Deadline: </w:t>
      </w:r>
      <w:r>
        <w:rPr>
          <w:rFonts w:ascii="Arial" w:cs="Arial" w:eastAsia="Arial" w:hAnsi="Arial"/>
          <w:b/>
          <w:bCs/>
          <w:color w:val="2E5FA3"/>
          <w:sz w:val="22"/>
          <w:szCs w:val="22"/>
        </w:rPr>
        <w:t xml:space="preserve">2026-03-30 (30 calendar days from audit date).</w:t>
      </w:r>
    </w:p>
    <w:p>
      <w:pPr>
        <w:spacing w:before="0" w:after="40"/>
      </w:pPr>
    </w:p>
    <w:p>
      <w:pPr>
        <w:spacing w:before="60" w:after="100"/>
      </w:pPr>
      <w:r>
        <w:rPr>
          <w:rFonts w:ascii="Arial" w:cs="Arial" w:eastAsia="Arial" w:hAnsi="Arial"/>
          <w:color w:val="0D0D0D"/>
          <w:sz w:val="22"/>
          <w:szCs w:val="22"/>
        </w:rPr>
        <w:t xml:space="preserve">Failure to remediate Compliance Gaps CG-001 and CG-002 by the remediation deadline may constitute a reportable non-conformity to the relevant National Competent Authority per </w:t>
      </w:r>
      <w:r>
        <w:rPr>
          <w:rFonts w:ascii="Arial" w:cs="Arial" w:eastAsia="Arial" w:hAnsi="Arial"/>
          <w:b/>
          <w:bCs/>
          <w:color w:val="0D0D0D"/>
          <w:sz w:val="22"/>
          <w:szCs w:val="22"/>
        </w:rPr>
        <w:t xml:space="preserve">AI_Act_Art73</w:t>
      </w:r>
      <w:r>
        <w:rPr>
          <w:rFonts w:ascii="Arial" w:cs="Arial" w:eastAsia="Arial" w:hAnsi="Arial"/>
          <w:color w:val="0D0D0D"/>
          <w:sz w:val="22"/>
          <w:szCs w:val="22"/>
        </w:rPr>
        <w:t xml:space="preserve"> and may trigger a review of the Notified Body certificate NB-DE-0489/CERT-2025-SDV-4421-HR.</w:t>
      </w:r>
    </w:p>
    <w:p>
      <w:pPr>
        <w:spacing w:before="0" w:after="160"/>
      </w:pPr>
    </w:p>
    <w:p>
      <w:r>
        <w:br w:type="page"/>
      </w:r>
    </w:p>
    <w:p>
      <w:pPr>
        <w:pStyle w:val="Heading1"/>
        <w:spacing w:before="360" w:after="120"/>
      </w:pPr>
      <w:r>
        <w:rPr>
          <w:rFonts w:ascii="Arial" w:cs="Arial" w:eastAsia="Arial" w:hAnsi="Arial"/>
          <w:b/>
          <w:bCs/>
          <w:color w:val="1B2A4A"/>
          <w:sz w:val="36"/>
          <w:szCs w:val="36"/>
        </w:rPr>
        <w:t xml:space="preserve">Section 6 — Auditor Attestation &amp; Sign-Off</w:t>
      </w:r>
    </w:p>
    <w:p>
      <w:pPr>
        <w:pBdr>
          <w:bottom w:val="single" w:color="2E5FA3" w:sz="8" w:space="1"/>
        </w:pBdr>
        <w:spacing w:before="0" w:after="80"/>
      </w:pPr>
    </w:p>
    <w:p>
      <w:pPr>
        <w:spacing w:before="0" w:after="80"/>
      </w:pPr>
    </w:p>
    <w:p>
      <w:pPr>
        <w:spacing w:before="60" w:after="100"/>
      </w:pPr>
      <w:r>
        <w:rPr>
          <w:rFonts w:ascii="Arial" w:cs="Arial" w:eastAsia="Arial" w:hAnsi="Arial"/>
          <w:color w:val="0D0D0D"/>
          <w:sz w:val="22"/>
          <w:szCs w:val="22"/>
        </w:rPr>
        <w:t xml:space="preserve">This Technical File has been prepared in good faith on the basis of telemetry log records retrieved from the AWS S3 Immutable Vault (bucket: lxd-sdv-audit-prod-euc1) and represents an accurate account of the compliance status of the SDV-PERCEPT-7 system as of the audit date stated herein. All findings, gaps, and remediation requirements are stated without qualification, concealment, or omission known to the auditor at the time of report preparation.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Audit Organisation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LXD Advisory — Technical Compliance Architecture Practice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Report Reference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LXD-TF-2026-SDV-0047</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Audit Date</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28 February 2026</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Auditor Role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Lead Regulatory Auditor — EU AI Act Technical File Authority</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Report Status</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FINAL — v1.0</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Next Scheduled Audit</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2026-05-31 (Quarterly — as per deployer QMS)</w:t>
            </w:r>
          </w:p>
        </w:tc>
      </w:tr>
      <w:tr>
        <w:tc>
          <w:tcPr>
            <w:tcW w:type="dxa" w:w="300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b/>
                <w:bCs/>
                <w:color w:val="0D0D0D"/>
                <w:sz w:val="22"/>
                <w:szCs w:val="22"/>
              </w:rPr>
              <w:t xml:space="preserve">Distribution</w:t>
            </w:r>
          </w:p>
        </w:tc>
        <w:tc>
          <w:tcPr>
            <w:tcW w:type="dxa" w:w="63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color w:val="0D0D0D"/>
                <w:sz w:val="22"/>
                <w:szCs w:val="22"/>
              </w:rPr>
              <w:t xml:space="preserve">AutoDrive GmbH CISO; AutoDrive GmbH DPO; AutoDrive GmbH Legal Counsel; LXD Advisory File</w:t>
            </w:r>
          </w:p>
        </w:tc>
      </w:tr>
      <w:tr>
        <w:tc>
          <w:tcPr>
            <w:tcW w:type="dxa" w:w="30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20"/>
            </w:tcMar>
          </w:tcPr>
          <w:p>
            <w:r>
              <w:rPr>
                <w:rFonts w:ascii="Arial" w:cs="Arial" w:eastAsia="Arial" w:hAnsi="Arial"/>
                <w:b/>
                <w:bCs/>
                <w:color w:val="0D0D0D"/>
                <w:sz w:val="22"/>
                <w:szCs w:val="22"/>
              </w:rPr>
              <w:t xml:space="preserve">Retention of this File</w:t>
            </w:r>
          </w:p>
        </w:tc>
        <w:tc>
          <w:tcPr>
            <w:tcW w:type="dxa" w:w="6360"/>
            <w:tcBorders>
              <w:top w:val="single" w:color="D0D7E3" w:sz="1"/>
              <w:left w:val="single" w:color="D0D7E3" w:sz="1"/>
              <w:bottom w:val="single" w:color="D0D7E3" w:sz="1"/>
              <w:right w:val="single" w:color="D0D7E3" w:sz="1"/>
            </w:tcBorders>
            <w:shd w:fill="F2F4F8" w:val="clear"/>
            <w:tcMar>
              <w:top w:type="dxa" w:w="80"/>
              <w:left w:type="dxa" w:w="160"/>
              <w:bottom w:type="dxa" w:w="80"/>
              <w:right w:type="dxa" w:w="120"/>
            </w:tcMar>
          </w:tcPr>
          <w:p>
            <w:r>
              <w:rPr>
                <w:rFonts w:ascii="Arial" w:cs="Arial" w:eastAsia="Arial" w:hAnsi="Arial"/>
                <w:color w:val="0D0D0D"/>
                <w:sz w:val="22"/>
                <w:szCs w:val="22"/>
              </w:rPr>
              <w:t xml:space="preserve">10 years from date of issue — AI_Act_Art12_Para2</w:t>
            </w:r>
          </w:p>
        </w:tc>
      </w:tr>
    </w:tbl>
    <w:p>
      <w:pPr>
        <w:spacing w:before="0" w:after="120"/>
      </w:pPr>
    </w:p>
    <w:p>
      <w:pPr>
        <w:spacing w:before="60" w:after="100"/>
      </w:pPr>
      <w:r>
        <w:rPr>
          <w:rFonts w:ascii="Arial" w:cs="Arial" w:eastAsia="Arial" w:hAnsi="Arial"/>
          <w:b/>
          <w:bCs/>
          <w:color w:val="0D0D0D"/>
          <w:sz w:val="22"/>
          <w:szCs w:val="22"/>
        </w:rPr>
        <w:t xml:space="preserve">Prepared by: </w:t>
      </w:r>
      <w:r>
        <w:rPr>
          <w:rFonts w:ascii="Arial" w:cs="Arial" w:eastAsia="Arial" w:hAnsi="Arial"/>
          <w:color w:val="0D0D0D"/>
          <w:sz w:val="22"/>
          <w:szCs w:val="22"/>
        </w:rPr>
        <w:t xml:space="preserve">LXD Advisory Technical Compliance Architect</w:t>
      </w:r>
    </w:p>
    <w:p>
      <w:pPr>
        <w:spacing w:before="60" w:after="100"/>
      </w:pPr>
      <w:r>
        <w:rPr>
          <w:rFonts w:ascii="Arial" w:cs="Arial" w:eastAsia="Arial" w:hAnsi="Arial"/>
          <w:b/>
          <w:bCs/>
          <w:color w:val="0D0D0D"/>
          <w:sz w:val="22"/>
          <w:szCs w:val="22"/>
        </w:rPr>
        <w:t xml:space="preserve">Reviewed by: </w:t>
      </w:r>
      <w:r>
        <w:rPr>
          <w:rFonts w:ascii="Arial" w:cs="Arial" w:eastAsia="Arial" w:hAnsi="Arial"/>
          <w:color w:val="0D0D0D"/>
          <w:sz w:val="22"/>
          <w:szCs w:val="22"/>
        </w:rPr>
        <w:t xml:space="preserve">LXD Advisory Practice Lead — Regulatory Engineering</w:t>
      </w:r>
    </w:p>
    <w:p>
      <w:pPr>
        <w:spacing w:before="60" w:after="100"/>
      </w:pPr>
      <w:r>
        <w:rPr>
          <w:rFonts w:ascii="Arial" w:cs="Arial" w:eastAsia="Arial" w:hAnsi="Arial"/>
          <w:b/>
          <w:bCs/>
          <w:color w:val="0D0D0D"/>
          <w:sz w:val="22"/>
          <w:szCs w:val="22"/>
        </w:rPr>
        <w:t xml:space="preserve">Approved for release: </w:t>
      </w:r>
      <w:r>
        <w:rPr>
          <w:rFonts w:ascii="Arial" w:cs="Arial" w:eastAsia="Arial" w:hAnsi="Arial"/>
          <w:color w:val="0D0D0D"/>
          <w:sz w:val="22"/>
          <w:szCs w:val="22"/>
        </w:rPr>
        <w:t xml:space="preserve">LXD Advisory Managing Partner — EU Compliance</w:t>
      </w:r>
    </w:p>
    <w:p>
      <w:pPr>
        <w:spacing w:before="0" w:after="80"/>
      </w:pPr>
    </w:p>
    <w:p>
      <w:pPr>
        <w:pBdr>
          <w:bottom w:val="single" w:color="1B2A4A" w:sz="8" w:space="1"/>
        </w:pBdr>
        <w:spacing w:before="0" w:after="80"/>
      </w:pPr>
    </w:p>
    <w:p>
      <w:pPr>
        <w:spacing w:before="0" w:after="80"/>
      </w:pPr>
    </w:p>
    <w:p>
      <w:pPr>
        <w:jc w:val="center"/>
      </w:pPr>
      <w:r>
        <w:rPr>
          <w:rFonts w:ascii="Arial" w:cs="Arial" w:eastAsia="Arial" w:hAnsi="Arial"/>
          <w:b/>
          <w:bCs/>
          <w:caps/>
          <w:color w:val="1B2A4A"/>
          <w:sz w:val="20"/>
          <w:szCs w:val="20"/>
        </w:rPr>
        <w:t xml:space="preserve">— END OF TECHNICAL FILE LXD-TF-2026-SDV-0047 —</w:t>
      </w:r>
    </w:p>
    <w:p>
      <w:pPr>
        <w:spacing w:before="0" w:after="40"/>
      </w:pPr>
    </w:p>
    <w:p>
      <w:pPr>
        <w:jc w:val="center"/>
      </w:pPr>
      <w:r>
        <w:rPr>
          <w:rFonts w:ascii="Arial" w:cs="Arial" w:eastAsia="Arial" w:hAnsi="Arial"/>
          <w:i/>
          <w:iCs/>
          <w:color w:val="5A6475"/>
          <w:sz w:val="16"/>
          <w:szCs w:val="16"/>
        </w:rPr>
        <w:t xml:space="preserve">© 2026 LXD Advisory. This document is prepared for regulatory compliance purposes only and does not constitute legal advice.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spacing w:before="100" w:after="0"/>
    </w:pPr>
    <w:r>
      <w:rPr>
        <w:rFonts w:ascii="Arial" w:cs="Arial" w:eastAsia="Arial" w:hAnsi="Arial"/>
        <w:color w:val="5A6475"/>
        <w:sz w:val="16"/>
        <w:szCs w:val="16"/>
      </w:rPr>
      <w:t xml:space="preserve">© 2026 LXD Advisory. All rights reserved. This document is subject to legal privilege.</w:t>
    </w:r>
    <w:r>
      <w:rPr>
        <w:rFonts w:ascii="Arial" w:cs="Arial" w:eastAsia="Arial" w:hAnsi="Arial"/>
        <w:color w:val="5A6475"/>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before="0" w:after="100"/>
    </w:pPr>
    <w:r>
      <w:rPr>
        <w:rFonts w:ascii="Arial" w:cs="Arial" w:eastAsia="Arial" w:hAnsi="Arial"/>
        <w:color w:val="5A6475"/>
        <w:sz w:val="16"/>
        <w:szCs w:val="16"/>
      </w:rPr>
      <w:t xml:space="preserve">LXD Advisory | Technical File: SDV-PERCEPT-7 | EU AI Act Art. 12 | LXD-TF-2026-SDV-0047</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2026-02-28T09:06:37.977Z</dcterms:created>
  <dcterms:modified xsi:type="dcterms:W3CDTF">2026-02-28T09:06:37.978Z</dcterms:modified>
</cp:coreProperties>
</file>

<file path=docProps/custom.xml><?xml version="1.0" encoding="utf-8"?>
<Properties xmlns="http://schemas.openxmlformats.org/officeDocument/2006/custom-properties" xmlns:vt="http://schemas.openxmlformats.org/officeDocument/2006/docPropsVTypes"/>
</file>