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A8D" w:rsidRPr="00830CBE" w:rsidRDefault="00A549B7" w:rsidP="002D6468">
      <w:pPr>
        <w:jc w:val="center"/>
        <w:rPr>
          <w:b/>
        </w:rPr>
      </w:pPr>
      <w:r w:rsidRPr="00830CBE">
        <w:rPr>
          <w:b/>
        </w:rPr>
        <w:t>Proof of Equival</w:t>
      </w:r>
      <w:r w:rsidR="00771C51" w:rsidRPr="00830CBE">
        <w:rPr>
          <w:b/>
        </w:rPr>
        <w:t>e</w:t>
      </w:r>
      <w:r w:rsidR="00A62A8D" w:rsidRPr="00830CBE">
        <w:rPr>
          <w:b/>
        </w:rPr>
        <w:t>nce of “Surface Water” and “Ground Water” Mass Balance Equations</w:t>
      </w:r>
    </w:p>
    <w:p w:rsidR="00A62A8D" w:rsidRDefault="00A62A8D" w:rsidP="00A62A8D">
      <w:r>
        <w:t xml:space="preserve">In surface water modeling, if one is interested in the dissolved concentration, it is common to multiply the total concentration times the fraction dissolved, </w:t>
      </w:r>
      <w:proofErr w:type="gramStart"/>
      <w:r>
        <w:t>Fd</w:t>
      </w:r>
      <w:proofErr w:type="gramEnd"/>
      <w:r>
        <w:t>, where Fd is the ratio of the dissolved chemical mass to the total chemical mass.  Thus, Cd is related to C</w:t>
      </w:r>
      <w:r w:rsidRPr="00C67C9A">
        <w:rPr>
          <w:vertAlign w:val="subscript"/>
        </w:rPr>
        <w:t>T</w:t>
      </w:r>
      <w:r>
        <w:t>, including a porosity-correction, as</w:t>
      </w:r>
    </w:p>
    <w:p w:rsidR="00A62A8D" w:rsidRDefault="00A62A8D" w:rsidP="00A62A8D">
      <w:pPr>
        <w:ind w:firstLine="720"/>
      </w:pPr>
      <w:r w:rsidRPr="005C369A">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5pt;height:30.1pt" o:ole="">
            <v:imagedata r:id="rId9" o:title=""/>
          </v:shape>
          <o:OLEObject Type="Embed" ProgID="Equation.3" ShapeID="_x0000_i1025" DrawAspect="Content" ObjectID="_1575791546" r:id="rId10"/>
        </w:object>
      </w:r>
      <w:r>
        <w:t xml:space="preserve">     (1)</w:t>
      </w:r>
    </w:p>
    <w:p w:rsidR="00A62A8D" w:rsidRDefault="00A62A8D" w:rsidP="00A62A8D">
      <w:r>
        <w:t>By definition, C</w:t>
      </w:r>
      <w:r w:rsidRPr="0075513E">
        <w:rPr>
          <w:vertAlign w:val="subscript"/>
        </w:rPr>
        <w:t>T</w:t>
      </w:r>
      <w:r>
        <w:t xml:space="preserve"> is</w:t>
      </w:r>
    </w:p>
    <w:p w:rsidR="00A62A8D" w:rsidRDefault="00A62A8D" w:rsidP="00A62A8D">
      <w:r>
        <w:t xml:space="preserve"> </w:t>
      </w:r>
      <w:r w:rsidRPr="0075513E">
        <w:rPr>
          <w:position w:val="-12"/>
        </w:rPr>
        <w:object w:dxaOrig="1700" w:dyaOrig="360">
          <v:shape id="_x0000_i1026" type="#_x0000_t75" style="width:85.35pt;height:17.5pt" o:ole="">
            <v:imagedata r:id="rId11" o:title=""/>
          </v:shape>
          <o:OLEObject Type="Embed" ProgID="Equation.3" ShapeID="_x0000_i1026" DrawAspect="Content" ObjectID="_1575791547" r:id="rId12"/>
        </w:object>
      </w:r>
      <w:r>
        <w:t xml:space="preserve">     (2)</w:t>
      </w:r>
    </w:p>
    <w:p w:rsidR="00A62A8D" w:rsidRDefault="00A62A8D" w:rsidP="00A62A8D">
      <w:proofErr w:type="gramStart"/>
      <w:r>
        <w:t>where</w:t>
      </w:r>
      <w:proofErr w:type="gramEnd"/>
      <w:r>
        <w:t xml:space="preserve"> C</w:t>
      </w:r>
      <w:r>
        <w:rPr>
          <w:vertAlign w:val="subscript"/>
        </w:rPr>
        <w:t>s</w:t>
      </w:r>
      <w:r>
        <w:t xml:space="preserve"> is the sorbed concentration with units of mass of chemical per mass of solids (Mc/Ms).  Substituting (2) into (1), </w:t>
      </w:r>
      <w:proofErr w:type="spellStart"/>
      <w:proofErr w:type="gramStart"/>
      <w:r>
        <w:t>Fd</w:t>
      </w:r>
      <w:proofErr w:type="spellEnd"/>
      <w:proofErr w:type="gramEnd"/>
      <w:r>
        <w:t xml:space="preserve"> can be expressed as </w:t>
      </w:r>
    </w:p>
    <w:p w:rsidR="00A62A8D" w:rsidRDefault="00A62A8D" w:rsidP="00A62A8D">
      <w:pPr>
        <w:ind w:firstLine="720"/>
      </w:pPr>
      <w:r w:rsidRPr="004A5ADF">
        <w:rPr>
          <w:position w:val="-30"/>
        </w:rPr>
        <w:object w:dxaOrig="1760" w:dyaOrig="680">
          <v:shape id="_x0000_i1027" type="#_x0000_t75" style="width:86.85pt;height:32.75pt" o:ole="">
            <v:imagedata r:id="rId13" o:title=""/>
          </v:shape>
          <o:OLEObject Type="Embed" ProgID="Equation.3" ShapeID="_x0000_i1027" DrawAspect="Content" ObjectID="_1575791548" r:id="rId14"/>
        </w:object>
      </w:r>
      <w:r>
        <w:t xml:space="preserve">     (3)</w:t>
      </w:r>
    </w:p>
    <w:p w:rsidR="00A62A8D" w:rsidRDefault="00A62A8D" w:rsidP="00A62A8D">
      <w:r>
        <w:t xml:space="preserve">  Now, at instantaneous liquid/solids sorption equilibrium (which </w:t>
      </w:r>
      <w:r w:rsidR="002D6468">
        <w:t>the standard groundwater PDE equation</w:t>
      </w:r>
      <w:r>
        <w:t xml:space="preserve"> </w:t>
      </w:r>
      <w:r w:rsidR="002D6468" w:rsidRPr="005C369A">
        <w:rPr>
          <w:position w:val="-24"/>
        </w:rPr>
        <w:object w:dxaOrig="2820" w:dyaOrig="660">
          <v:shape id="_x0000_i1065" type="#_x0000_t75" style="width:141.35pt;height:32pt" o:ole="">
            <v:imagedata r:id="rId15" o:title=""/>
          </v:shape>
          <o:OLEObject Type="Embed" ProgID="Equation.3" ShapeID="_x0000_i1065" DrawAspect="Content" ObjectID="_1575791549" r:id="rId16"/>
        </w:object>
      </w:r>
      <w:r>
        <w:t>assumes), C</w:t>
      </w:r>
      <w:r>
        <w:rPr>
          <w:vertAlign w:val="subscript"/>
        </w:rPr>
        <w:t>s</w:t>
      </w:r>
      <w:r>
        <w:t xml:space="preserve"> and C</w:t>
      </w:r>
      <w:r w:rsidRPr="00B8323F">
        <w:rPr>
          <w:vertAlign w:val="subscript"/>
        </w:rPr>
        <w:t>d</w:t>
      </w:r>
      <w:r>
        <w:t xml:space="preserve"> are related as</w:t>
      </w:r>
    </w:p>
    <w:p w:rsidR="00A62A8D" w:rsidRDefault="00A62A8D" w:rsidP="00A62A8D">
      <w:pPr>
        <w:ind w:firstLine="720"/>
      </w:pPr>
      <w:r w:rsidRPr="004A5ADF">
        <w:rPr>
          <w:position w:val="-12"/>
        </w:rPr>
        <w:object w:dxaOrig="1180" w:dyaOrig="360">
          <v:shape id="_x0000_i1028" type="#_x0000_t75" style="width:58.65pt;height:17.15pt" o:ole="">
            <v:imagedata r:id="rId17" o:title=""/>
          </v:shape>
          <o:OLEObject Type="Embed" ProgID="Equation.3" ShapeID="_x0000_i1028" DrawAspect="Content" ObjectID="_1575791550" r:id="rId18"/>
        </w:object>
      </w:r>
      <w:r>
        <w:t xml:space="preserve">     (4)</w:t>
      </w:r>
      <w:bookmarkStart w:id="0" w:name="_GoBack"/>
      <w:bookmarkEnd w:id="0"/>
    </w:p>
    <w:p w:rsidR="00A62A8D" w:rsidRDefault="00A62A8D" w:rsidP="00A62A8D">
      <w:proofErr w:type="gramStart"/>
      <w:r>
        <w:t>where</w:t>
      </w:r>
      <w:proofErr w:type="gramEnd"/>
      <w:r>
        <w:t xml:space="preserve"> K</w:t>
      </w:r>
      <w:r w:rsidRPr="004A5ADF">
        <w:rPr>
          <w:vertAlign w:val="subscript"/>
        </w:rPr>
        <w:t>d</w:t>
      </w:r>
      <w:r>
        <w:t xml:space="preserve"> is the well-known equilibrium partitioning coefficient (L</w:t>
      </w:r>
      <w:r w:rsidRPr="00BE5E86">
        <w:rPr>
          <w:vertAlign w:val="subscript"/>
        </w:rPr>
        <w:t>w</w:t>
      </w:r>
      <w:r w:rsidRPr="00B8323F">
        <w:rPr>
          <w:vertAlign w:val="superscript"/>
        </w:rPr>
        <w:t>3</w:t>
      </w:r>
      <w:r>
        <w:t>/M</w:t>
      </w:r>
      <w:r w:rsidRPr="00BE5E86">
        <w:rPr>
          <w:vertAlign w:val="subscript"/>
        </w:rPr>
        <w:t>s</w:t>
      </w:r>
      <w:r>
        <w:t>).  Substituting from (3) into (</w:t>
      </w:r>
      <w:r w:rsidR="001073E5">
        <w:t>2</w:t>
      </w:r>
      <w:r>
        <w:t xml:space="preserve">), </w:t>
      </w:r>
      <w:proofErr w:type="spellStart"/>
      <w:proofErr w:type="gramStart"/>
      <w:r>
        <w:t>F</w:t>
      </w:r>
      <w:r w:rsidRPr="00B8323F">
        <w:rPr>
          <w:vertAlign w:val="subscript"/>
        </w:rPr>
        <w:t>d</w:t>
      </w:r>
      <w:proofErr w:type="spellEnd"/>
      <w:proofErr w:type="gramEnd"/>
      <w:r>
        <w:t xml:space="preserve"> can be written as</w:t>
      </w:r>
    </w:p>
    <w:p w:rsidR="00A62A8D" w:rsidRDefault="00A62A8D" w:rsidP="00A62A8D">
      <w:pPr>
        <w:ind w:firstLine="720"/>
      </w:pPr>
      <w:r w:rsidRPr="00B8323F">
        <w:rPr>
          <w:position w:val="-30"/>
        </w:rPr>
        <w:object w:dxaOrig="3720" w:dyaOrig="680">
          <v:shape id="_x0000_i1029" type="#_x0000_t75" style="width:186.3pt;height:32.75pt" o:ole="">
            <v:imagedata r:id="rId19" o:title=""/>
          </v:shape>
          <o:OLEObject Type="Embed" ProgID="Equation.3" ShapeID="_x0000_i1029" DrawAspect="Content" ObjectID="_1575791551" r:id="rId20"/>
        </w:object>
      </w:r>
      <w:r>
        <w:t xml:space="preserve">     (</w:t>
      </w:r>
      <w:r w:rsidR="001073E5">
        <w:t>5</w:t>
      </w:r>
      <w:r>
        <w:t>)</w:t>
      </w:r>
    </w:p>
    <w:p w:rsidR="00A62A8D" w:rsidRDefault="00A62A8D" w:rsidP="00A62A8D">
      <w:proofErr w:type="gramStart"/>
      <w:r>
        <w:t>which</w:t>
      </w:r>
      <w:proofErr w:type="gramEnd"/>
      <w:r>
        <w:t xml:space="preserve">, after a minor rearrangement of equation </w:t>
      </w:r>
      <w:r w:rsidR="002D6468" w:rsidRPr="005C369A">
        <w:rPr>
          <w:position w:val="-24"/>
        </w:rPr>
        <w:object w:dxaOrig="1340" w:dyaOrig="620">
          <v:shape id="_x0000_i1066" type="#_x0000_t75" style="width:67.45pt;height:30.1pt" o:ole="">
            <v:imagedata r:id="rId21" o:title=""/>
          </v:shape>
          <o:OLEObject Type="Embed" ProgID="Equation.3" ShapeID="_x0000_i1066" DrawAspect="Content" ObjectID="_1575791552" r:id="rId22"/>
        </w:object>
      </w:r>
      <w:r>
        <w:t>, can be seen to be identically 1/R.  Therefore, from (</w:t>
      </w:r>
      <w:r w:rsidR="001073E5">
        <w:t>4</w:t>
      </w:r>
      <w:r>
        <w:t>) and (</w:t>
      </w:r>
      <w:r w:rsidR="001073E5">
        <w:t>1</w:t>
      </w:r>
      <w:r>
        <w:t>), C</w:t>
      </w:r>
      <w:r>
        <w:rPr>
          <w:vertAlign w:val="subscript"/>
        </w:rPr>
        <w:t>d</w:t>
      </w:r>
      <w:r>
        <w:t xml:space="preserve"> can be written as </w:t>
      </w:r>
    </w:p>
    <w:p w:rsidR="00A62A8D" w:rsidRDefault="00A62A8D" w:rsidP="00A62A8D">
      <w:pPr>
        <w:ind w:firstLine="720"/>
      </w:pPr>
      <w:r w:rsidRPr="00B04BE6">
        <w:rPr>
          <w:position w:val="-24"/>
        </w:rPr>
        <w:object w:dxaOrig="1800" w:dyaOrig="620">
          <v:shape id="_x0000_i1030" type="#_x0000_t75" style="width:89.15pt;height:30.1pt" o:ole="">
            <v:imagedata r:id="rId23" o:title=""/>
          </v:shape>
          <o:OLEObject Type="Embed" ProgID="Equation.3" ShapeID="_x0000_i1030" DrawAspect="Content" ObjectID="_1575791553" r:id="rId24"/>
        </w:object>
      </w:r>
      <w:r>
        <w:t xml:space="preserve">     (</w:t>
      </w:r>
      <w:r w:rsidR="001073E5">
        <w:t>6</w:t>
      </w:r>
      <w:r>
        <w:t>)</w:t>
      </w:r>
    </w:p>
    <w:p w:rsidR="00A62A8D" w:rsidRDefault="00A62A8D" w:rsidP="00A62A8D">
      <w:r>
        <w:t>Substituting for Cd from (</w:t>
      </w:r>
      <w:r w:rsidR="001073E5">
        <w:t>6</w:t>
      </w:r>
      <w:r>
        <w:t xml:space="preserve">) </w:t>
      </w:r>
      <w:proofErr w:type="gramStart"/>
      <w:r>
        <w:t xml:space="preserve">into </w:t>
      </w:r>
      <w:proofErr w:type="gramEnd"/>
      <w:r w:rsidR="002D6468" w:rsidRPr="005C369A">
        <w:rPr>
          <w:position w:val="-24"/>
        </w:rPr>
        <w:object w:dxaOrig="2820" w:dyaOrig="660">
          <v:shape id="_x0000_i1067" type="#_x0000_t75" style="width:141.35pt;height:32pt" o:ole="">
            <v:imagedata r:id="rId15" o:title=""/>
          </v:shape>
          <o:OLEObject Type="Embed" ProgID="Equation.3" ShapeID="_x0000_i1067" DrawAspect="Content" ObjectID="_1575791554" r:id="rId25"/>
        </w:object>
      </w:r>
      <w:r>
        <w:t>, and treating R and θ as time and space constants gives</w:t>
      </w:r>
    </w:p>
    <w:p w:rsidR="00A62A8D" w:rsidRDefault="00A62A8D" w:rsidP="00A62A8D">
      <w:pPr>
        <w:ind w:firstLine="720"/>
      </w:pPr>
      <w:r w:rsidRPr="002B3DE8">
        <w:rPr>
          <w:position w:val="-24"/>
        </w:rPr>
        <w:object w:dxaOrig="3240" w:dyaOrig="660">
          <v:shape id="_x0000_i1031" type="#_x0000_t75" style="width:162.65pt;height:32pt" o:ole="">
            <v:imagedata r:id="rId26" o:title=""/>
          </v:shape>
          <o:OLEObject Type="Embed" ProgID="Equation.3" ShapeID="_x0000_i1031" DrawAspect="Content" ObjectID="_1575791555" r:id="rId27"/>
        </w:object>
      </w:r>
      <w:r>
        <w:t xml:space="preserve">      (</w:t>
      </w:r>
      <w:r w:rsidR="001073E5">
        <w:t>7</w:t>
      </w:r>
      <w:r>
        <w:t>)</w:t>
      </w:r>
    </w:p>
    <w:p w:rsidR="00A62A8D" w:rsidRDefault="00A62A8D" w:rsidP="00A62A8D">
      <w:r>
        <w:t xml:space="preserve">Cancelling the common Rθ term and recognizing that the remaining R is implicitly 1.0, because partitioning is moot when modeling total concentration, leaves identically </w:t>
      </w:r>
      <w:proofErr w:type="gramStart"/>
      <w:r>
        <w:t xml:space="preserve">equation </w:t>
      </w:r>
      <w:proofErr w:type="gramEnd"/>
      <w:r w:rsidR="002D6468" w:rsidRPr="005C369A">
        <w:rPr>
          <w:position w:val="-24"/>
        </w:rPr>
        <w:object w:dxaOrig="2680" w:dyaOrig="660">
          <v:shape id="_x0000_i1068" type="#_x0000_t75" style="width:134.85pt;height:32pt" o:ole="">
            <v:imagedata r:id="rId28" o:title=""/>
          </v:shape>
          <o:OLEObject Type="Embed" ProgID="Equation.3" ShapeID="_x0000_i1068" DrawAspect="Content" ObjectID="_1575791556" r:id="rId29"/>
        </w:object>
      </w:r>
      <w:r w:rsidR="002D6468">
        <w:t>, the standard surface water PDE.</w:t>
      </w:r>
      <w:r>
        <w:t xml:space="preserve">  The result </w:t>
      </w:r>
      <w:r w:rsidR="001073E5">
        <w:t>shows that</w:t>
      </w:r>
      <w:r>
        <w:t xml:space="preserve"> the “surface water” parameter, </w:t>
      </w:r>
      <w:proofErr w:type="gramStart"/>
      <w:r>
        <w:t>Fd</w:t>
      </w:r>
      <w:proofErr w:type="gramEnd"/>
      <w:r>
        <w:t xml:space="preserve">, and the ground water parameter, R, are simply the inverse of each other.  </w:t>
      </w:r>
    </w:p>
    <w:p w:rsidR="00030D80" w:rsidRDefault="00030D80">
      <w:r>
        <w:br w:type="page"/>
      </w:r>
    </w:p>
    <w:p w:rsidR="00030D80" w:rsidRPr="00030D80" w:rsidRDefault="00C83BA9" w:rsidP="00030D80">
      <w:pPr>
        <w:rPr>
          <w:rFonts w:eastAsiaTheme="minorEastAsia"/>
          <w:b/>
        </w:rPr>
      </w:pPr>
      <w:r>
        <w:rPr>
          <w:rFonts w:eastAsiaTheme="minorEastAsia"/>
          <w:b/>
        </w:rPr>
        <w:lastRenderedPageBreak/>
        <w:t>Appendix B.</w:t>
      </w:r>
      <w:r w:rsidR="00030D80">
        <w:rPr>
          <w:rFonts w:eastAsiaTheme="minorEastAsia"/>
          <w:b/>
        </w:rPr>
        <w:t xml:space="preserve"> </w:t>
      </w:r>
      <w:r w:rsidR="00030D80" w:rsidRPr="00030D80">
        <w:rPr>
          <w:rFonts w:eastAsiaTheme="minorEastAsia"/>
          <w:b/>
        </w:rPr>
        <w:t>Conversion of the GEM PDE to Represent the Chow et al. (1988) Nonlinear, Combined Continuity and Momentum Equation</w:t>
      </w:r>
    </w:p>
    <w:p w:rsidR="00030D80" w:rsidRPr="00A92D61" w:rsidRDefault="00030D80" w:rsidP="00030D80">
      <w:r w:rsidRPr="00A92D61">
        <w:t xml:space="preserve">Re-expressing the Chow et al. equation (16), </w:t>
      </w:r>
      <w:r w:rsidR="00C83BA9">
        <w:t>repeated here:</w:t>
      </w:r>
    </w:p>
    <w:p w:rsidR="00030D80" w:rsidRPr="00A92D61" w:rsidRDefault="00030D80" w:rsidP="00030D80">
      <w:r w:rsidRPr="00A92D61">
        <w:rPr>
          <w:position w:val="-24"/>
        </w:rPr>
        <w:object w:dxaOrig="4340" w:dyaOrig="660">
          <v:shape id="_x0000_i1032" type="#_x0000_t75" style="width:217.9pt;height:32.75pt" o:ole="">
            <v:imagedata r:id="rId30" o:title=""/>
          </v:shape>
          <o:OLEObject Type="Embed" ProgID="Equation.3" ShapeID="_x0000_i1032" DrawAspect="Content" ObjectID="_1575791557" r:id="rId31"/>
        </w:object>
      </w:r>
      <w:r w:rsidRPr="00A92D61">
        <w:t xml:space="preserve">     (</w:t>
      </w:r>
      <w:r w:rsidR="00C83BA9">
        <w:t>B</w:t>
      </w:r>
      <w:r w:rsidRPr="00A92D61">
        <w:t>-1)</w:t>
      </w:r>
    </w:p>
    <w:p w:rsidR="00030D80" w:rsidRPr="00A92D61" w:rsidRDefault="00030D80" w:rsidP="00030D80">
      <w:r w:rsidRPr="00A92D61">
        <w:t xml:space="preserve"> </w:t>
      </w:r>
      <w:proofErr w:type="gramStart"/>
      <w:r w:rsidRPr="00A92D61">
        <w:t>in</w:t>
      </w:r>
      <w:proofErr w:type="gramEnd"/>
      <w:r w:rsidRPr="00A92D61">
        <w:t xml:space="preserve"> a GEM-like format (using R) gives </w:t>
      </w:r>
    </w:p>
    <w:p w:rsidR="00030D80" w:rsidRPr="00A92D61" w:rsidRDefault="00030D80" w:rsidP="00030D80">
      <w:pPr>
        <w:ind w:firstLine="720"/>
      </w:pPr>
      <w:r w:rsidRPr="00A92D61">
        <w:rPr>
          <w:position w:val="-24"/>
        </w:rPr>
        <w:object w:dxaOrig="4000" w:dyaOrig="660">
          <v:shape id="_x0000_i1033" type="#_x0000_t75" style="width:199.25pt;height:32.75pt" o:ole="">
            <v:imagedata r:id="rId32" o:title=""/>
          </v:shape>
          <o:OLEObject Type="Embed" ProgID="Equation.3" ShapeID="_x0000_i1033" DrawAspect="Content" ObjectID="_1575791558" r:id="rId33"/>
        </w:object>
      </w:r>
      <w:r w:rsidRPr="00A92D61">
        <w:t xml:space="preserve">     (</w:t>
      </w:r>
      <w:r w:rsidR="00C83BA9">
        <w:t>B</w:t>
      </w:r>
      <w:r w:rsidRPr="00A92D61">
        <w:t>-2a)</w:t>
      </w:r>
    </w:p>
    <w:p w:rsidR="00030D80" w:rsidRPr="00A92D61" w:rsidRDefault="00030D80" w:rsidP="00030D80">
      <w:proofErr w:type="gramStart"/>
      <w:r w:rsidRPr="00A92D61">
        <w:t>where</w:t>
      </w:r>
      <w:proofErr w:type="gramEnd"/>
    </w:p>
    <w:p w:rsidR="00030D80" w:rsidRPr="00A92D61" w:rsidRDefault="00030D80" w:rsidP="00030D80">
      <w:pPr>
        <w:ind w:firstLine="720"/>
      </w:pPr>
      <w:r w:rsidRPr="00A92D61">
        <w:rPr>
          <w:position w:val="-12"/>
        </w:rPr>
        <w:object w:dxaOrig="1460" w:dyaOrig="380">
          <v:shape id="_x0000_i1034" type="#_x0000_t75" style="width:73.9pt;height:19.8pt" o:ole="">
            <v:imagedata r:id="rId34" o:title=""/>
          </v:shape>
          <o:OLEObject Type="Embed" ProgID="Equation.3" ShapeID="_x0000_i1034" DrawAspect="Content" ObjectID="_1575791559" r:id="rId35"/>
        </w:object>
      </w:r>
      <w:r w:rsidRPr="00A92D61">
        <w:t xml:space="preserve">     (</w:t>
      </w:r>
      <w:r w:rsidR="00C83BA9">
        <w:t>B</w:t>
      </w:r>
      <w:r w:rsidRPr="00A92D61">
        <w:t>-2b)</w:t>
      </w:r>
    </w:p>
    <w:p w:rsidR="00030D80" w:rsidRPr="00A92D61" w:rsidRDefault="00030D80" w:rsidP="00030D80">
      <w:pPr>
        <w:rPr>
          <w:rFonts w:eastAsiaTheme="minorEastAsia"/>
        </w:rPr>
      </w:pPr>
      <w:r w:rsidRPr="00A92D61">
        <w:rPr>
          <w:rFonts w:eastAsiaTheme="minorEastAsia"/>
        </w:rPr>
        <w:t>Using a FTBS approach, the GEM mass balance equation (4) can be written in 1-D as</w:t>
      </w:r>
    </w:p>
    <w:p w:rsidR="00030D80" w:rsidRPr="00A92D61" w:rsidRDefault="00030D80" w:rsidP="00030D80">
      <w:r w:rsidRPr="00A92D61">
        <w:rPr>
          <w:position w:val="-32"/>
        </w:rPr>
        <w:object w:dxaOrig="9480" w:dyaOrig="820">
          <v:shape id="_x0000_i1035" type="#_x0000_t75" style="width:475.05pt;height:40pt" o:ole="">
            <v:imagedata r:id="rId36" o:title=""/>
          </v:shape>
          <o:OLEObject Type="Embed" ProgID="Equation.3" ShapeID="_x0000_i1035" DrawAspect="Content" ObjectID="_1575791560" r:id="rId37"/>
        </w:object>
      </w:r>
      <w:r w:rsidRPr="00A92D61">
        <w:t xml:space="preserve">     (</w:t>
      </w:r>
      <w:r w:rsidR="00C83BA9">
        <w:t>B</w:t>
      </w:r>
      <w:r w:rsidRPr="00A92D61">
        <w:t>-3)</w:t>
      </w:r>
    </w:p>
    <w:p w:rsidR="00030D80" w:rsidRPr="00A92D61" w:rsidRDefault="00030D80" w:rsidP="00030D80">
      <w:proofErr w:type="gramStart"/>
      <w:r w:rsidRPr="00A92D61">
        <w:t>where</w:t>
      </w:r>
      <w:proofErr w:type="gramEnd"/>
      <w:r w:rsidRPr="00A92D61">
        <w:t xml:space="preserve"> no sources/sinks are included, the compartments’ geometry (volume, area) are assumed to be static in time, and  </w:t>
      </w:r>
    </w:p>
    <w:p w:rsidR="00030D80" w:rsidRPr="00A92D61" w:rsidRDefault="00030D80" w:rsidP="00030D80">
      <w:pPr>
        <w:pStyle w:val="NoSpacing"/>
        <w:ind w:left="720"/>
      </w:pPr>
      <w:r w:rsidRPr="00A92D61">
        <w:t>W</w:t>
      </w:r>
      <w:r w:rsidRPr="00A92D61">
        <w:rPr>
          <w:vertAlign w:val="subscript"/>
        </w:rPr>
        <w:t>i</w:t>
      </w:r>
      <w:r w:rsidRPr="00A92D61">
        <w:rPr>
          <w:vertAlign w:val="superscript"/>
        </w:rPr>
        <w:t xml:space="preserve">t </w:t>
      </w:r>
      <w:r w:rsidRPr="00A92D61">
        <w:t>= an external loading to compartment i at time t with units of M/T</w:t>
      </w:r>
    </w:p>
    <w:p w:rsidR="00030D80" w:rsidRPr="00A92D61" w:rsidRDefault="00030D80" w:rsidP="00030D80">
      <w:pPr>
        <w:pStyle w:val="NoSpacing"/>
        <w:ind w:left="720"/>
      </w:pPr>
      <w:r w:rsidRPr="00A92D61">
        <w:rPr>
          <w:position w:val="-14"/>
        </w:rPr>
        <w:object w:dxaOrig="420" w:dyaOrig="420">
          <v:shape id="_x0000_i1036" type="#_x0000_t75" style="width:21.35pt;height:21.35pt" o:ole="">
            <v:imagedata r:id="rId38" o:title=""/>
          </v:shape>
          <o:OLEObject Type="Embed" ProgID="Equation.3" ShapeID="_x0000_i1036" DrawAspect="Content" ObjectID="_1575791561" r:id="rId39"/>
        </w:object>
      </w:r>
      <w:r w:rsidRPr="00A92D61">
        <w:t xml:space="preserve"> = interfacial flow volume (L</w:t>
      </w:r>
      <w:r w:rsidRPr="00A92D61">
        <w:rPr>
          <w:vertAlign w:val="superscript"/>
        </w:rPr>
        <w:t>3</w:t>
      </w:r>
      <w:r w:rsidRPr="00A92D61">
        <w:t>/T) between compartments i and j.  (Signs on flows are explicitly included in equation (</w:t>
      </w:r>
      <w:r w:rsidR="005176C3">
        <w:t>19</w:t>
      </w:r>
      <w:r w:rsidRPr="00A92D61">
        <w:t xml:space="preserve">)).  </w:t>
      </w:r>
    </w:p>
    <w:p w:rsidR="00030D80" w:rsidRPr="00A92D61" w:rsidRDefault="00030D80" w:rsidP="00030D80">
      <w:pPr>
        <w:pStyle w:val="NoSpacing"/>
        <w:ind w:left="720"/>
      </w:pPr>
      <w:r w:rsidRPr="00A92D61">
        <w:rPr>
          <w:position w:val="-14"/>
        </w:rPr>
        <w:object w:dxaOrig="400" w:dyaOrig="420">
          <v:shape id="_x0000_i1037" type="#_x0000_t75" style="width:19.8pt;height:21.35pt" o:ole="">
            <v:imagedata r:id="rId40" o:title=""/>
          </v:shape>
          <o:OLEObject Type="Embed" ProgID="Equation.3" ShapeID="_x0000_i1037" DrawAspect="Content" ObjectID="_1575791562" r:id="rId41"/>
        </w:object>
      </w:r>
      <w:r w:rsidRPr="00A92D61">
        <w:t xml:space="preserve"> = interfacial area (L</w:t>
      </w:r>
      <w:r w:rsidRPr="00A92D61">
        <w:rPr>
          <w:vertAlign w:val="superscript"/>
        </w:rPr>
        <w:t>2</w:t>
      </w:r>
      <w:r w:rsidRPr="00A92D61">
        <w:t>) between compartments i and j</w:t>
      </w:r>
    </w:p>
    <w:p w:rsidR="00030D80" w:rsidRPr="00A92D61" w:rsidRDefault="00030D80" w:rsidP="00030D80">
      <w:pPr>
        <w:pStyle w:val="NoSpacing"/>
        <w:ind w:left="720"/>
      </w:pPr>
      <w:r w:rsidRPr="00A92D61">
        <w:rPr>
          <w:position w:val="-12"/>
        </w:rPr>
        <w:object w:dxaOrig="260" w:dyaOrig="400">
          <v:shape id="_x0000_i1038" type="#_x0000_t75" style="width:13.35pt;height:19.8pt" o:ole="">
            <v:imagedata r:id="rId42" o:title=""/>
          </v:shape>
          <o:OLEObject Type="Embed" ProgID="Equation.3" ShapeID="_x0000_i1038" DrawAspect="Content" ObjectID="_1575791563" r:id="rId43"/>
        </w:object>
      </w:r>
      <w:r w:rsidRPr="00A92D61">
        <w:rPr>
          <w:vertAlign w:val="subscript"/>
        </w:rPr>
        <w:t xml:space="preserve"> </w:t>
      </w:r>
      <w:r w:rsidRPr="00A92D61">
        <w:t>= volume of compartment i (L</w:t>
      </w:r>
      <w:r w:rsidRPr="00A92D61">
        <w:rPr>
          <w:vertAlign w:val="superscript"/>
        </w:rPr>
        <w:t>3</w:t>
      </w:r>
      <w:r w:rsidRPr="00A92D61">
        <w:t>)</w:t>
      </w:r>
    </w:p>
    <w:p w:rsidR="00030D80" w:rsidRPr="00A92D61" w:rsidRDefault="00030D80" w:rsidP="00030D80">
      <w:pPr>
        <w:pStyle w:val="NoSpacing"/>
        <w:ind w:left="720"/>
        <w:rPr>
          <w:rFonts w:eastAsiaTheme="minorEastAsia"/>
        </w:rPr>
      </w:pPr>
      <w:r w:rsidRPr="00A92D61">
        <w:rPr>
          <w:rFonts w:eastAsiaTheme="minorEastAsia"/>
        </w:rPr>
        <w:t>E</w:t>
      </w:r>
      <w:r w:rsidRPr="00A92D61">
        <w:rPr>
          <w:rFonts w:eastAsiaTheme="minorEastAsia"/>
          <w:vertAlign w:val="subscript"/>
        </w:rPr>
        <w:t>i</w:t>
      </w:r>
      <w:proofErr w:type="gramStart"/>
      <w:r w:rsidRPr="00A92D61">
        <w:rPr>
          <w:rFonts w:eastAsiaTheme="minorEastAsia"/>
          <w:vertAlign w:val="subscript"/>
        </w:rPr>
        <w:t>,j</w:t>
      </w:r>
      <w:proofErr w:type="gramEnd"/>
      <w:r w:rsidRPr="00A92D61">
        <w:rPr>
          <w:rFonts w:eastAsiaTheme="minorEastAsia"/>
        </w:rPr>
        <w:t xml:space="preserve"> = dispersion coefficient (L</w:t>
      </w:r>
      <w:r w:rsidRPr="00A92D61">
        <w:rPr>
          <w:rFonts w:eastAsiaTheme="minorEastAsia"/>
          <w:vertAlign w:val="superscript"/>
        </w:rPr>
        <w:t>2</w:t>
      </w:r>
      <w:r w:rsidRPr="00A92D61">
        <w:rPr>
          <w:rFonts w:eastAsiaTheme="minorEastAsia"/>
        </w:rPr>
        <w:t>/T) between compartments i and j</w:t>
      </w:r>
    </w:p>
    <w:p w:rsidR="00030D80" w:rsidRPr="00A92D61" w:rsidRDefault="00030D80" w:rsidP="00030D80">
      <w:pPr>
        <w:pStyle w:val="NoSpacing"/>
        <w:ind w:left="720"/>
        <w:rPr>
          <w:rFonts w:eastAsiaTheme="minorEastAsia"/>
        </w:rPr>
      </w:pPr>
      <w:r w:rsidRPr="00A92D61">
        <w:rPr>
          <w:rFonts w:eastAsiaTheme="minorEastAsia"/>
        </w:rPr>
        <w:t>L</w:t>
      </w:r>
      <w:r w:rsidRPr="00A92D61">
        <w:rPr>
          <w:rFonts w:eastAsiaTheme="minorEastAsia"/>
          <w:vertAlign w:val="subscript"/>
        </w:rPr>
        <w:t>i</w:t>
      </w:r>
      <w:proofErr w:type="gramStart"/>
      <w:r w:rsidRPr="00A92D61">
        <w:rPr>
          <w:rFonts w:eastAsiaTheme="minorEastAsia"/>
          <w:vertAlign w:val="subscript"/>
        </w:rPr>
        <w:t>,j</w:t>
      </w:r>
      <w:proofErr w:type="gramEnd"/>
      <w:r w:rsidRPr="00A92D61">
        <w:rPr>
          <w:rFonts w:eastAsiaTheme="minorEastAsia"/>
          <w:vertAlign w:val="subscript"/>
        </w:rPr>
        <w:t xml:space="preserve"> </w:t>
      </w:r>
      <w:r w:rsidRPr="00A92D61">
        <w:rPr>
          <w:rFonts w:eastAsiaTheme="minorEastAsia"/>
        </w:rPr>
        <w:t>= length over which dispersive mixing occurs between compartments i and j (L)</w:t>
      </w:r>
    </w:p>
    <w:p w:rsidR="00030D80" w:rsidRPr="00A92D61" w:rsidRDefault="00030D80" w:rsidP="00030D80">
      <w:pPr>
        <w:pStyle w:val="NoSpacing"/>
        <w:ind w:left="720"/>
        <w:rPr>
          <w:rFonts w:eastAsiaTheme="minorEastAsia"/>
        </w:rPr>
      </w:pPr>
      <w:r w:rsidRPr="00A92D61">
        <w:rPr>
          <w:rFonts w:eastAsiaTheme="minorEastAsia"/>
        </w:rPr>
        <w:t>Θ</w:t>
      </w:r>
      <w:r w:rsidRPr="00A92D61">
        <w:rPr>
          <w:rFonts w:eastAsiaTheme="minorEastAsia"/>
          <w:vertAlign w:val="subscript"/>
        </w:rPr>
        <w:t>i</w:t>
      </w:r>
      <w:r w:rsidRPr="00A92D61">
        <w:rPr>
          <w:rFonts w:eastAsiaTheme="minorEastAsia"/>
        </w:rPr>
        <w:t xml:space="preserve"> = water content (L</w:t>
      </w:r>
      <w:r w:rsidRPr="00A92D61">
        <w:rPr>
          <w:rFonts w:eastAsiaTheme="minorEastAsia"/>
          <w:vertAlign w:val="superscript"/>
        </w:rPr>
        <w:t>3</w:t>
      </w:r>
      <w:r w:rsidRPr="00A92D61">
        <w:rPr>
          <w:rFonts w:eastAsiaTheme="minorEastAsia"/>
        </w:rPr>
        <w:t>/L</w:t>
      </w:r>
      <w:r w:rsidRPr="00A92D61">
        <w:rPr>
          <w:rFonts w:eastAsiaTheme="minorEastAsia"/>
          <w:vertAlign w:val="superscript"/>
        </w:rPr>
        <w:t>3</w:t>
      </w:r>
      <w:r w:rsidRPr="00A92D61">
        <w:rPr>
          <w:rFonts w:eastAsiaTheme="minorEastAsia"/>
        </w:rPr>
        <w:t>) of medium</w:t>
      </w:r>
    </w:p>
    <w:p w:rsidR="00030D80" w:rsidRPr="00A92D61" w:rsidRDefault="00030D80" w:rsidP="00030D80">
      <w:pPr>
        <w:pStyle w:val="NoSpacing"/>
      </w:pPr>
      <w:r w:rsidRPr="00A92D61">
        <w:t xml:space="preserve">A note about </w:t>
      </w:r>
      <w:r w:rsidRPr="00A92D61">
        <w:object w:dxaOrig="240" w:dyaOrig="380">
          <v:shape id="_x0000_i1039" type="#_x0000_t75" style="width:12.2pt;height:19.8pt" o:ole="">
            <v:imagedata r:id="rId44" o:title=""/>
          </v:shape>
          <o:OLEObject Type="Embed" ProgID="Equation.3" ShapeID="_x0000_i1039" DrawAspect="Content" ObjectID="_1575791564" r:id="rId45"/>
        </w:object>
      </w:r>
      <w:r w:rsidRPr="00A92D61">
        <w:t xml:space="preserve"> in equation (</w:t>
      </w:r>
      <w:r w:rsidR="00C83BA9">
        <w:t>B</w:t>
      </w:r>
      <w:r w:rsidRPr="00A92D61">
        <w:t xml:space="preserve">-3) versus “Q” in equation (4) is in order.  Q (and A) are </w:t>
      </w:r>
      <w:r w:rsidR="00F559F4">
        <w:t>SV</w:t>
      </w:r>
      <w:r w:rsidRPr="00A92D61">
        <w:t xml:space="preserve">s of the kinematic wave equation.  Their solution in space and time is to be determined.  </w:t>
      </w:r>
      <w:r w:rsidRPr="00A92D61">
        <w:object w:dxaOrig="240" w:dyaOrig="380">
          <v:shape id="_x0000_i1040" type="#_x0000_t75" style="width:12.2pt;height:19.8pt" o:ole="">
            <v:imagedata r:id="rId44" o:title=""/>
          </v:shape>
          <o:OLEObject Type="Embed" ProgID="Equation.3" ShapeID="_x0000_i1040" DrawAspect="Content" ObjectID="_1575791565" r:id="rId46"/>
        </w:object>
      </w:r>
      <w:r w:rsidRPr="00A92D61">
        <w:t xml:space="preserve"> (</w:t>
      </w:r>
      <w:proofErr w:type="gramStart"/>
      <w:r w:rsidRPr="00A92D61">
        <w:t>and</w:t>
      </w:r>
      <w:proofErr w:type="gramEnd"/>
      <w:r w:rsidRPr="00A92D61">
        <w:t xml:space="preserve"> </w:t>
      </w:r>
      <w:r w:rsidRPr="00A92D61">
        <w:object w:dxaOrig="240" w:dyaOrig="320">
          <v:shape id="_x0000_i1041" type="#_x0000_t75" style="width:12.2pt;height:17.15pt" o:ole="">
            <v:imagedata r:id="rId47" o:title=""/>
          </v:shape>
          <o:OLEObject Type="Embed" ProgID="Equation.3" ShapeID="_x0000_i1041" DrawAspect="Content" ObjectID="_1575791566" r:id="rId48"/>
        </w:object>
      </w:r>
      <w:proofErr w:type="spellStart"/>
      <w:r w:rsidRPr="00A92D61">
        <w:t>and</w:t>
      </w:r>
      <w:proofErr w:type="spellEnd"/>
      <w:r w:rsidRPr="00A92D61">
        <w:t xml:space="preserve"> </w:t>
      </w:r>
      <w:r w:rsidRPr="00A92D61">
        <w:object w:dxaOrig="240" w:dyaOrig="340">
          <v:shape id="_x0000_i1042" type="#_x0000_t75" style="width:12.2pt;height:17.15pt" o:ole="">
            <v:imagedata r:id="rId49" o:title=""/>
          </v:shape>
          <o:OLEObject Type="Embed" ProgID="Equation.3" ShapeID="_x0000_i1042" DrawAspect="Content" ObjectID="_1575791567" r:id="rId50"/>
        </w:object>
      </w:r>
      <w:r w:rsidRPr="00A92D61">
        <w:t xml:space="preserve">) in the GEM equation (4) are parameters of the equation.  Their values are assumed to be known.  We are trying to </w:t>
      </w:r>
      <w:proofErr w:type="gramStart"/>
      <w:r w:rsidRPr="00A92D61">
        <w:t xml:space="preserve">parameterize </w:t>
      </w:r>
      <w:proofErr w:type="gramEnd"/>
      <w:r w:rsidRPr="00A92D61">
        <w:object w:dxaOrig="240" w:dyaOrig="380">
          <v:shape id="_x0000_i1043" type="#_x0000_t75" style="width:12.2pt;height:19.8pt" o:ole="">
            <v:imagedata r:id="rId44" o:title=""/>
          </v:shape>
          <o:OLEObject Type="Embed" ProgID="Equation.3" ShapeID="_x0000_i1043" DrawAspect="Content" ObjectID="_1575791568" r:id="rId51"/>
        </w:object>
      </w:r>
      <w:r w:rsidRPr="00A92D61">
        <w:t>,</w:t>
      </w:r>
      <w:r w:rsidRPr="00A92D61">
        <w:object w:dxaOrig="240" w:dyaOrig="320">
          <v:shape id="_x0000_i1044" type="#_x0000_t75" style="width:12.2pt;height:17.15pt" o:ole="">
            <v:imagedata r:id="rId47" o:title=""/>
          </v:shape>
          <o:OLEObject Type="Embed" ProgID="Equation.3" ShapeID="_x0000_i1044" DrawAspect="Content" ObjectID="_1575791569" r:id="rId52"/>
        </w:object>
      </w:r>
      <w:r w:rsidRPr="00A92D61">
        <w:t xml:space="preserve">, and </w:t>
      </w:r>
      <w:r w:rsidRPr="00A92D61">
        <w:object w:dxaOrig="240" w:dyaOrig="340">
          <v:shape id="_x0000_i1045" type="#_x0000_t75" style="width:12.2pt;height:17.15pt" o:ole="">
            <v:imagedata r:id="rId53" o:title=""/>
          </v:shape>
          <o:OLEObject Type="Embed" ProgID="Equation.3" ShapeID="_x0000_i1045" DrawAspect="Content" ObjectID="_1575791570" r:id="rId54"/>
        </w:object>
      </w:r>
      <w:r w:rsidRPr="00A92D61">
        <w:t xml:space="preserve"> in equation (18) in such a way that, along with other changes, the GEM compartment equation (</w:t>
      </w:r>
      <w:r w:rsidR="00C83BA9">
        <w:t>B</w:t>
      </w:r>
      <w:r w:rsidRPr="00A92D61">
        <w:t xml:space="preserve">-3) becomes equivalent to </w:t>
      </w:r>
      <w:r w:rsidR="00C83BA9">
        <w:t>Chow’s</w:t>
      </w:r>
      <w:r w:rsidRPr="00A92D61">
        <w:t xml:space="preserve"> finite difference equation (</w:t>
      </w:r>
      <w:r w:rsidR="00C83BA9">
        <w:t>B-1</w:t>
      </w:r>
      <w:r w:rsidRPr="00A92D61">
        <w:t xml:space="preserve">).   The overbars </w:t>
      </w:r>
      <w:proofErr w:type="gramStart"/>
      <w:r w:rsidRPr="00A92D61">
        <w:t xml:space="preserve">on </w:t>
      </w:r>
      <w:proofErr w:type="gramEnd"/>
      <w:r w:rsidRPr="00A92D61">
        <w:object w:dxaOrig="240" w:dyaOrig="380">
          <v:shape id="_x0000_i1046" type="#_x0000_t75" style="width:12.2pt;height:19.8pt" o:ole="">
            <v:imagedata r:id="rId44" o:title=""/>
          </v:shape>
          <o:OLEObject Type="Embed" ProgID="Equation.3" ShapeID="_x0000_i1046" DrawAspect="Content" ObjectID="_1575791571" r:id="rId55"/>
        </w:object>
      </w:r>
      <w:r w:rsidRPr="00A92D61">
        <w:t>,</w:t>
      </w:r>
      <w:r w:rsidRPr="00A92D61">
        <w:object w:dxaOrig="240" w:dyaOrig="320">
          <v:shape id="_x0000_i1047" type="#_x0000_t75" style="width:12.2pt;height:17.15pt" o:ole="">
            <v:imagedata r:id="rId47" o:title=""/>
          </v:shape>
          <o:OLEObject Type="Embed" ProgID="Equation.3" ShapeID="_x0000_i1047" DrawAspect="Content" ObjectID="_1575791572" r:id="rId56"/>
        </w:object>
      </w:r>
      <w:r w:rsidRPr="00A92D61">
        <w:t xml:space="preserve">, and </w:t>
      </w:r>
      <w:r w:rsidRPr="00A92D61">
        <w:object w:dxaOrig="240" w:dyaOrig="340">
          <v:shape id="_x0000_i1048" type="#_x0000_t75" style="width:12.2pt;height:17.15pt" o:ole="">
            <v:imagedata r:id="rId53" o:title=""/>
          </v:shape>
          <o:OLEObject Type="Embed" ProgID="Equation.3" ShapeID="_x0000_i1048" DrawAspect="Content" ObjectID="_1575791573" r:id="rId57"/>
        </w:object>
      </w:r>
      <w:r w:rsidRPr="00A92D61">
        <w:t>in equation (</w:t>
      </w:r>
      <w:r w:rsidR="00C83BA9">
        <w:t>B</w:t>
      </w:r>
      <w:r w:rsidRPr="00A92D61">
        <w:t>-3) are being used here to remind the reader of that difference.  That is</w:t>
      </w:r>
      <w:r w:rsidR="00C83BA9">
        <w:t>,</w:t>
      </w:r>
      <w:r w:rsidRPr="00A92D61">
        <w:t xml:space="preserve"> Q, A, and V will refer to the true </w:t>
      </w:r>
      <w:r w:rsidR="00F559F4">
        <w:t>SV</w:t>
      </w:r>
      <w:r w:rsidRPr="00A92D61">
        <w:t xml:space="preserve"> </w:t>
      </w:r>
      <w:proofErr w:type="gramStart"/>
      <w:r w:rsidRPr="00A92D61">
        <w:t xml:space="preserve">while </w:t>
      </w:r>
      <w:proofErr w:type="gramEnd"/>
      <w:r w:rsidRPr="00A92D61">
        <w:object w:dxaOrig="240" w:dyaOrig="380">
          <v:shape id="_x0000_i1049" type="#_x0000_t75" style="width:12.2pt;height:19.8pt" o:ole="">
            <v:imagedata r:id="rId44" o:title=""/>
          </v:shape>
          <o:OLEObject Type="Embed" ProgID="Equation.3" ShapeID="_x0000_i1049" DrawAspect="Content" ObjectID="_1575791574" r:id="rId58"/>
        </w:object>
      </w:r>
      <w:r w:rsidRPr="00A92D61">
        <w:t>,</w:t>
      </w:r>
      <w:r w:rsidRPr="00A92D61">
        <w:object w:dxaOrig="240" w:dyaOrig="320">
          <v:shape id="_x0000_i1050" type="#_x0000_t75" style="width:12.2pt;height:17.15pt" o:ole="">
            <v:imagedata r:id="rId47" o:title=""/>
          </v:shape>
          <o:OLEObject Type="Embed" ProgID="Equation.3" ShapeID="_x0000_i1050" DrawAspect="Content" ObjectID="_1575791575" r:id="rId59"/>
        </w:object>
      </w:r>
      <w:r w:rsidRPr="00A92D61">
        <w:t xml:space="preserve">, and </w:t>
      </w:r>
      <w:r w:rsidRPr="00A92D61">
        <w:object w:dxaOrig="240" w:dyaOrig="340">
          <v:shape id="_x0000_i1051" type="#_x0000_t75" style="width:12.2pt;height:17.15pt" o:ole="">
            <v:imagedata r:id="rId53" o:title=""/>
          </v:shape>
          <o:OLEObject Type="Embed" ProgID="Equation.3" ShapeID="_x0000_i1051" DrawAspect="Content" ObjectID="_1575791576" r:id="rId60"/>
        </w:object>
      </w:r>
      <w:r w:rsidRPr="00A92D61">
        <w:t xml:space="preserve">will remain simply GEM parameters.  </w:t>
      </w:r>
    </w:p>
    <w:p w:rsidR="00030D80" w:rsidRPr="00A92D61" w:rsidRDefault="00030D80" w:rsidP="00030D80">
      <w:pPr>
        <w:pStyle w:val="NoSpacing"/>
      </w:pPr>
    </w:p>
    <w:p w:rsidR="00030D80" w:rsidRPr="00A92D61" w:rsidRDefault="00030D80" w:rsidP="00030D80">
      <w:pPr>
        <w:rPr>
          <w:rFonts w:eastAsiaTheme="minorEastAsia"/>
        </w:rPr>
      </w:pPr>
      <w:r w:rsidRPr="00A92D61">
        <w:rPr>
          <w:rFonts w:eastAsiaTheme="minorEastAsia"/>
        </w:rPr>
        <w:lastRenderedPageBreak/>
        <w:t>To configure the GEM compartment equation (</w:t>
      </w:r>
      <w:r w:rsidR="00C83BA9">
        <w:rPr>
          <w:rFonts w:eastAsiaTheme="minorEastAsia"/>
        </w:rPr>
        <w:t>B-1</w:t>
      </w:r>
      <w:r w:rsidRPr="00A92D61">
        <w:rPr>
          <w:rFonts w:eastAsiaTheme="minorEastAsia"/>
        </w:rPr>
        <w:t>) to represent the FTBS numerical representation of the kinetic wave partial differential equation (16), we assign:</w:t>
      </w:r>
    </w:p>
    <w:p w:rsidR="00030D80" w:rsidRPr="00A92D61" w:rsidRDefault="00030D80" w:rsidP="00030D80">
      <w:pPr>
        <w:ind w:left="720"/>
        <w:rPr>
          <w:rFonts w:eastAsiaTheme="minorEastAsia"/>
        </w:rPr>
      </w:pPr>
      <w:r w:rsidRPr="00A92D61">
        <w:rPr>
          <w:rFonts w:eastAsiaTheme="minorEastAsia"/>
        </w:rPr>
        <w:t>E</w:t>
      </w:r>
      <w:r w:rsidRPr="00A92D61">
        <w:rPr>
          <w:rFonts w:eastAsiaTheme="minorEastAsia"/>
          <w:vertAlign w:val="subscript"/>
        </w:rPr>
        <w:t>i</w:t>
      </w:r>
      <w:proofErr w:type="gramStart"/>
      <w:r w:rsidRPr="00A92D61">
        <w:rPr>
          <w:rFonts w:eastAsiaTheme="minorEastAsia"/>
          <w:vertAlign w:val="subscript"/>
        </w:rPr>
        <w:t>,j</w:t>
      </w:r>
      <w:proofErr w:type="gramEnd"/>
      <w:r w:rsidRPr="00A92D61">
        <w:rPr>
          <w:rFonts w:eastAsiaTheme="minorEastAsia"/>
        </w:rPr>
        <w:t xml:space="preserve"> = 0 </w:t>
      </w:r>
    </w:p>
    <w:p w:rsidR="00030D80" w:rsidRPr="00A92D61" w:rsidRDefault="00030D80" w:rsidP="00030D80">
      <w:pPr>
        <w:ind w:left="720"/>
        <w:rPr>
          <w:rFonts w:eastAsiaTheme="minorEastAsia"/>
        </w:rPr>
      </w:pPr>
      <w:r w:rsidRPr="00A92D61">
        <w:rPr>
          <w:rFonts w:eastAsiaTheme="minorEastAsia"/>
        </w:rPr>
        <w:t>Θ</w:t>
      </w:r>
      <w:r w:rsidRPr="00A92D61">
        <w:rPr>
          <w:rFonts w:eastAsiaTheme="minorEastAsia"/>
          <w:vertAlign w:val="subscript"/>
        </w:rPr>
        <w:t>i</w:t>
      </w:r>
      <w:r w:rsidRPr="00A92D61">
        <w:rPr>
          <w:rFonts w:eastAsiaTheme="minorEastAsia"/>
        </w:rPr>
        <w:t xml:space="preserve"> = 1</w:t>
      </w:r>
    </w:p>
    <w:p w:rsidR="00030D80" w:rsidRPr="00A92D61" w:rsidRDefault="00030D80" w:rsidP="00030D80">
      <w:r w:rsidRPr="00A92D61">
        <w:rPr>
          <w:rFonts w:eastAsiaTheme="minorEastAsia"/>
        </w:rPr>
        <w:t xml:space="preserve">Assume the GEM geometry parameters, </w:t>
      </w:r>
      <w:r w:rsidRPr="00A92D61">
        <w:rPr>
          <w:position w:val="-6"/>
        </w:rPr>
        <w:object w:dxaOrig="240" w:dyaOrig="340">
          <v:shape id="_x0000_i1052" type="#_x0000_t75" style="width:12.2pt;height:17.15pt" o:ole="">
            <v:imagedata r:id="rId53" o:title=""/>
          </v:shape>
          <o:OLEObject Type="Embed" ProgID="Equation.3" ShapeID="_x0000_i1052" DrawAspect="Content" ObjectID="_1575791577" r:id="rId61"/>
        </w:object>
      </w:r>
      <w:proofErr w:type="gramStart"/>
      <w:r w:rsidRPr="00A92D61">
        <w:rPr>
          <w:rFonts w:eastAsiaTheme="minorEastAsia"/>
        </w:rPr>
        <w:t xml:space="preserve">and </w:t>
      </w:r>
      <w:proofErr w:type="gramEnd"/>
      <w:r w:rsidRPr="00A92D61">
        <w:rPr>
          <w:position w:val="-4"/>
        </w:rPr>
        <w:object w:dxaOrig="240" w:dyaOrig="320">
          <v:shape id="_x0000_i1053" type="#_x0000_t75" style="width:12.2pt;height:17.15pt" o:ole="">
            <v:imagedata r:id="rId47" o:title=""/>
          </v:shape>
          <o:OLEObject Type="Embed" ProgID="Equation.3" ShapeID="_x0000_i1053" DrawAspect="Content" ObjectID="_1575791578" r:id="rId62"/>
        </w:object>
      </w:r>
      <w:r w:rsidRPr="00A92D61">
        <w:rPr>
          <w:rFonts w:eastAsiaTheme="minorEastAsia"/>
        </w:rPr>
        <w:t xml:space="preserve">, do not change along the modeled length or with time.  Also, assign </w:t>
      </w:r>
      <w:r w:rsidRPr="00A92D61">
        <w:rPr>
          <w:position w:val="-10"/>
        </w:rPr>
        <w:object w:dxaOrig="240" w:dyaOrig="380">
          <v:shape id="_x0000_i1054" type="#_x0000_t75" style="width:12.2pt;height:19.8pt" o:ole="">
            <v:imagedata r:id="rId44" o:title=""/>
          </v:shape>
          <o:OLEObject Type="Embed" ProgID="Equation.3" ShapeID="_x0000_i1054" DrawAspect="Content" ObjectID="_1575791579" r:id="rId63"/>
        </w:object>
      </w:r>
      <w:proofErr w:type="gramStart"/>
      <w:r w:rsidRPr="00A92D61">
        <w:t xml:space="preserve">= </w:t>
      </w:r>
      <w:proofErr w:type="gramEnd"/>
      <w:r w:rsidRPr="00A92D61">
        <w:rPr>
          <w:position w:val="-4"/>
        </w:rPr>
        <w:object w:dxaOrig="240" w:dyaOrig="320">
          <v:shape id="_x0000_i1055" type="#_x0000_t75" style="width:12.2pt;height:17.15pt" o:ole="">
            <v:imagedata r:id="rId47" o:title=""/>
          </v:shape>
          <o:OLEObject Type="Embed" ProgID="Equation.3" ShapeID="_x0000_i1055" DrawAspect="Content" ObjectID="_1575791580" r:id="rId64"/>
        </w:object>
      </w:r>
      <w:r w:rsidRPr="00A92D61">
        <w:t>, i.e. the GEM’s flow parameter is normalized to equal the cross-sectional area.  (The flow velocity is then unity.)</w:t>
      </w:r>
    </w:p>
    <w:p w:rsidR="00030D80" w:rsidRPr="00A92D61" w:rsidRDefault="00030D80" w:rsidP="00030D80">
      <w:r w:rsidRPr="00A92D61">
        <w:t xml:space="preserve">Substitute </w:t>
      </w:r>
      <w:r w:rsidRPr="00A92D61">
        <w:rPr>
          <w:position w:val="-4"/>
        </w:rPr>
        <w:object w:dxaOrig="240" w:dyaOrig="320">
          <v:shape id="_x0000_i1056" type="#_x0000_t75" style="width:12.2pt;height:17.15pt" o:ole="">
            <v:imagedata r:id="rId47" o:title=""/>
          </v:shape>
          <o:OLEObject Type="Embed" ProgID="Equation.3" ShapeID="_x0000_i1056" DrawAspect="Content" ObjectID="_1575791581" r:id="rId65"/>
        </w:object>
      </w:r>
      <w:proofErr w:type="spellStart"/>
      <w:r w:rsidRPr="00A92D61">
        <w:t>Δx</w:t>
      </w:r>
      <w:proofErr w:type="spellEnd"/>
      <w:r w:rsidRPr="00A92D61">
        <w:t xml:space="preserve"> for volume,</w:t>
      </w:r>
      <w:r w:rsidRPr="00A92D61">
        <w:rPr>
          <w:position w:val="-6"/>
        </w:rPr>
        <w:object w:dxaOrig="240" w:dyaOrig="340">
          <v:shape id="_x0000_i1057" type="#_x0000_t75" style="width:12.2pt;height:17.15pt" o:ole="">
            <v:imagedata r:id="rId53" o:title=""/>
          </v:shape>
          <o:OLEObject Type="Embed" ProgID="Equation.3" ShapeID="_x0000_i1057" DrawAspect="Content" ObjectID="_1575791582" r:id="rId66"/>
        </w:object>
      </w:r>
      <w:proofErr w:type="gramStart"/>
      <w:r w:rsidRPr="00A92D61">
        <w:t>,</w:t>
      </w:r>
      <w:proofErr w:type="gramEnd"/>
      <w:r w:rsidRPr="00A92D61">
        <w:t xml:space="preserve"> and assign </w:t>
      </w:r>
      <w:r w:rsidRPr="00A92D61">
        <w:rPr>
          <w:position w:val="-4"/>
        </w:rPr>
        <w:object w:dxaOrig="240" w:dyaOrig="320">
          <v:shape id="_x0000_i1058" type="#_x0000_t75" style="width:12.2pt;height:17.15pt" o:ole="">
            <v:imagedata r:id="rId47" o:title=""/>
          </v:shape>
          <o:OLEObject Type="Embed" ProgID="Equation.3" ShapeID="_x0000_i1058" DrawAspect="Content" ObjectID="_1575791583" r:id="rId67"/>
        </w:object>
      </w:r>
      <w:r w:rsidRPr="00A92D61">
        <w:t>= 1.</w:t>
      </w:r>
    </w:p>
    <w:p w:rsidR="00030D80" w:rsidRPr="00A92D61" w:rsidRDefault="00030D80" w:rsidP="00030D80">
      <w:r w:rsidRPr="00A92D61">
        <w:t>With these assignments, equation (</w:t>
      </w:r>
      <w:r w:rsidR="00C83BA9">
        <w:t>B</w:t>
      </w:r>
      <w:r w:rsidRPr="00A92D61">
        <w:t xml:space="preserve">-3) becomes </w:t>
      </w:r>
    </w:p>
    <w:p w:rsidR="00030D80" w:rsidRPr="00A92D61" w:rsidRDefault="004744D1" w:rsidP="00030D80">
      <w:pPr>
        <w:ind w:firstLine="720"/>
      </w:pPr>
      <w:r w:rsidRPr="00A92D61">
        <w:rPr>
          <w:position w:val="-24"/>
        </w:rPr>
        <w:object w:dxaOrig="3680" w:dyaOrig="660">
          <v:shape id="_x0000_i1059" type="#_x0000_t75" style="width:184pt;height:32.75pt" o:ole="">
            <v:imagedata r:id="rId68" o:title=""/>
          </v:shape>
          <o:OLEObject Type="Embed" ProgID="Equation.3" ShapeID="_x0000_i1059" DrawAspect="Content" ObjectID="_1575791584" r:id="rId69"/>
        </w:object>
      </w:r>
    </w:p>
    <w:p w:rsidR="00030D80" w:rsidRPr="00A92D61" w:rsidRDefault="00030D80" w:rsidP="00030D80">
      <w:proofErr w:type="gramStart"/>
      <w:r w:rsidRPr="00A92D61">
        <w:t>which</w:t>
      </w:r>
      <w:proofErr w:type="gramEnd"/>
      <w:r w:rsidRPr="00A92D61">
        <w:t>, after dividing through by Δx is:</w:t>
      </w:r>
    </w:p>
    <w:p w:rsidR="00030D80" w:rsidRPr="00A92D61" w:rsidRDefault="004744D1" w:rsidP="00030D80">
      <w:pPr>
        <w:ind w:firstLine="720"/>
      </w:pPr>
      <w:r w:rsidRPr="00A92D61">
        <w:rPr>
          <w:position w:val="-24"/>
        </w:rPr>
        <w:object w:dxaOrig="3480" w:dyaOrig="660">
          <v:shape id="_x0000_i1060" type="#_x0000_t75" style="width:172.95pt;height:32.75pt" o:ole="">
            <v:imagedata r:id="rId70" o:title=""/>
          </v:shape>
          <o:OLEObject Type="Embed" ProgID="Equation.3" ShapeID="_x0000_i1060" DrawAspect="Content" ObjectID="_1575791585" r:id="rId71"/>
        </w:object>
      </w:r>
      <w:r w:rsidR="00030D80" w:rsidRPr="00A92D61">
        <w:t xml:space="preserve">     (</w:t>
      </w:r>
      <w:r w:rsidR="00C83BA9">
        <w:t>B</w:t>
      </w:r>
      <w:r w:rsidR="00030D80" w:rsidRPr="00A92D61">
        <w:t>-4a)</w:t>
      </w:r>
    </w:p>
    <w:p w:rsidR="00030D80" w:rsidRPr="00A92D61" w:rsidRDefault="00030D80" w:rsidP="00030D80">
      <w:proofErr w:type="gramStart"/>
      <w:r w:rsidRPr="00A92D61">
        <w:t>where</w:t>
      </w:r>
      <w:proofErr w:type="gramEnd"/>
      <w:r w:rsidRPr="00A92D61">
        <w:t xml:space="preserve">, </w:t>
      </w:r>
      <w:r w:rsidR="004744D1" w:rsidRPr="00A92D61">
        <w:rPr>
          <w:position w:val="-12"/>
        </w:rPr>
        <w:object w:dxaOrig="1520" w:dyaOrig="380">
          <v:shape id="_x0000_i1061" type="#_x0000_t75" style="width:75.05pt;height:19.8pt" o:ole="">
            <v:imagedata r:id="rId72" o:title=""/>
          </v:shape>
          <o:OLEObject Type="Embed" ProgID="Equation.3" ShapeID="_x0000_i1061" DrawAspect="Content" ObjectID="_1575791586" r:id="rId73"/>
        </w:object>
      </w:r>
      <w:r w:rsidRPr="00A92D61">
        <w:t xml:space="preserve">     (</w:t>
      </w:r>
      <w:r w:rsidR="00C83BA9">
        <w:t>B</w:t>
      </w:r>
      <w:r w:rsidRPr="00A92D61">
        <w:t>-4b)</w:t>
      </w:r>
    </w:p>
    <w:p w:rsidR="00030D80" w:rsidRPr="00A92D61" w:rsidRDefault="00030D80" w:rsidP="00030D80">
      <w:r w:rsidRPr="00A92D61">
        <w:t>If one makes a simple change-of-variables in (</w:t>
      </w:r>
      <w:r w:rsidR="00C83BA9">
        <w:t>B</w:t>
      </w:r>
      <w:r w:rsidRPr="00A92D61">
        <w:t xml:space="preserve">-4) such that the GEM </w:t>
      </w:r>
      <w:r w:rsidR="00F559F4">
        <w:t>SV</w:t>
      </w:r>
      <w:r w:rsidRPr="00A92D61">
        <w:t xml:space="preserve"> “</w:t>
      </w:r>
      <w:r w:rsidR="00A92D61" w:rsidRPr="00A92D61">
        <w:t>Cd</w:t>
      </w:r>
      <w:r w:rsidRPr="00A92D61">
        <w:t xml:space="preserve">” is identically equal to the kinematic wave </w:t>
      </w:r>
      <w:r w:rsidR="00F559F4">
        <w:t>SV</w:t>
      </w:r>
      <w:r w:rsidRPr="00A92D61">
        <w:t>, Q, comparing the GEM equation (</w:t>
      </w:r>
      <w:r w:rsidR="00C83BA9">
        <w:t>B</w:t>
      </w:r>
      <w:r w:rsidR="00A92D61" w:rsidRPr="00A92D61">
        <w:t>-4</w:t>
      </w:r>
      <w:r w:rsidRPr="00A92D61">
        <w:t>) with the FTBS finite difference equation for the kinetic wave equation (</w:t>
      </w:r>
      <w:r w:rsidR="00C83BA9">
        <w:t>B-2</w:t>
      </w:r>
      <w:r w:rsidRPr="00A92D61">
        <w:t xml:space="preserve">), shows that they </w:t>
      </w:r>
      <w:r w:rsidR="00C83BA9">
        <w:t xml:space="preserve">are essentially identical.  The </w:t>
      </w:r>
      <w:r w:rsidRPr="00A92D61">
        <w:t>only exception is the trivial difference that the distributed inflow term</w:t>
      </w:r>
      <w:proofErr w:type="gramStart"/>
      <w:r w:rsidRPr="00A92D61">
        <w:t xml:space="preserve">, </w:t>
      </w:r>
      <w:proofErr w:type="gramEnd"/>
      <w:r w:rsidRPr="00A92D61">
        <w:rPr>
          <w:position w:val="-24"/>
        </w:rPr>
        <w:object w:dxaOrig="900" w:dyaOrig="660">
          <v:shape id="_x0000_i1062" type="#_x0000_t75" style="width:44.95pt;height:32.75pt" o:ole="">
            <v:imagedata r:id="rId74" o:title=""/>
          </v:shape>
          <o:OLEObject Type="Embed" ProgID="Equation.3" ShapeID="_x0000_i1062" DrawAspect="Content" ObjectID="_1575791587" r:id="rId75"/>
        </w:object>
      </w:r>
      <w:r w:rsidRPr="00A92D61">
        <w:t xml:space="preserve">, is based on an average inflow over time steps t and t+1, while our distributed “inflow” term </w:t>
      </w:r>
      <w:r w:rsidRPr="00A92D61">
        <w:rPr>
          <w:position w:val="-24"/>
        </w:rPr>
        <w:object w:dxaOrig="420" w:dyaOrig="660">
          <v:shape id="_x0000_i1063" type="#_x0000_t75" style="width:21.35pt;height:32.75pt" o:ole="">
            <v:imagedata r:id="rId76" o:title=""/>
          </v:shape>
          <o:OLEObject Type="Embed" ProgID="Equation.3" ShapeID="_x0000_i1063" DrawAspect="Content" ObjectID="_1575791588" r:id="rId77"/>
        </w:object>
      </w:r>
      <w:r w:rsidRPr="00A92D61">
        <w:t xml:space="preserve"> occurs all within the current time step t.  The GEM policy is for time step “t+1” to represent the first instant of the upcoming time step, not sometime </w:t>
      </w:r>
      <w:r w:rsidRPr="00A92D61">
        <w:rPr>
          <w:i/>
        </w:rPr>
        <w:t>within</w:t>
      </w:r>
      <w:r w:rsidRPr="00A92D61">
        <w:t xml:space="preserve"> (e.g., midpoint) t+1.  With this definition, the GEM inflow parameter makes sense.</w:t>
      </w:r>
    </w:p>
    <w:p w:rsidR="00030D80" w:rsidRDefault="00030D80" w:rsidP="00030D80">
      <w:r w:rsidRPr="00A92D61">
        <w:t>A note on units is useful.  The GEM assumes lengths are in meters, mass in grams, time in days, etc. and the GEM input files contain these default units in the header records.  However, no unit conversions are performed anywhere in the GEM code.  Therefore, the user may populate the input files using whatever units they desire, so long as the units are internally consistent in the resulting equations.  For example, the Chow et al. example uses feet and seconds instead of meters and days.  In this application, we simply used the same units in the GEM files as Chow et al.</w:t>
      </w:r>
    </w:p>
    <w:p w:rsidR="00A62A8D" w:rsidRDefault="00A62A8D" w:rsidP="00A62A8D"/>
    <w:p w:rsidR="00A92D61" w:rsidRDefault="00A92D61">
      <w:pPr>
        <w:rPr>
          <w:b/>
          <w:i/>
        </w:rPr>
      </w:pPr>
      <w:r>
        <w:rPr>
          <w:b/>
          <w:i/>
        </w:rPr>
        <w:br w:type="page"/>
      </w:r>
    </w:p>
    <w:p w:rsidR="00AF0506" w:rsidRPr="002B4CF5" w:rsidRDefault="00C5304D" w:rsidP="002B4CF5">
      <w:pPr>
        <w:rPr>
          <w:b/>
          <w:i/>
        </w:rPr>
      </w:pPr>
      <w:r>
        <w:rPr>
          <w:b/>
          <w:i/>
        </w:rPr>
        <w:lastRenderedPageBreak/>
        <w:t>Appendix C</w:t>
      </w:r>
      <w:r w:rsidR="002B4CF5">
        <w:rPr>
          <w:b/>
          <w:i/>
        </w:rPr>
        <w:t xml:space="preserve">. </w:t>
      </w:r>
      <w:r w:rsidR="00AF0506" w:rsidRPr="002B4CF5">
        <w:rPr>
          <w:b/>
          <w:i/>
        </w:rPr>
        <w:t>Equivalency of 1 SV versus 2 SV models for Soil Medium</w:t>
      </w:r>
      <w:r w:rsidR="002B4CF5">
        <w:rPr>
          <w:b/>
          <w:i/>
        </w:rPr>
        <w:t xml:space="preserve"> of Multi-media Example</w:t>
      </w:r>
    </w:p>
    <w:p w:rsidR="00AF0506" w:rsidRPr="002B4CF5" w:rsidRDefault="002B4CF5" w:rsidP="00AF0506">
      <w:r>
        <w:t>We</w:t>
      </w:r>
      <w:r w:rsidR="00AF0506" w:rsidRPr="002B4CF5">
        <w:t xml:space="preserve"> include </w:t>
      </w:r>
      <w:r>
        <w:t xml:space="preserve">here </w:t>
      </w:r>
      <w:r w:rsidR="00AF0506" w:rsidRPr="002B4CF5">
        <w:t xml:space="preserve">a demonstration of the equivalency of the 1 SV (dissolved) versus 2 SV (dissolved, sorbed) approach.  The motivation for this analysis is emphasize the flexibility of alternative modeling designs as well as the flexibility of the GEM.  In addition, we give an illustration of an instantaneous sorption equilibrium approach (“Kd method”) versus a dynamic sorption approach (ks and kds approach). In this side analysis, only the soil compartments are considered, i.e. compartments 1 – 25.  Compartments 1 and 12 are upper boundary compartments.  Compartments 13 and 24 serve here as lower boundary compartments, and compartment 25 is a dummy compartment – to receive runoff flows from compartment 14.  Volatilization of dissolved chemical to the atmosphere is included, but feedback </w:t>
      </w:r>
      <w:proofErr w:type="gramStart"/>
      <w:r w:rsidR="00AF0506" w:rsidRPr="002B4CF5">
        <w:t>deposition from the atmosphere (wet and dry deposition) are</w:t>
      </w:r>
      <w:proofErr w:type="gramEnd"/>
      <w:r w:rsidR="00AF0506" w:rsidRPr="002B4CF5">
        <w:t xml:space="preserve"> not included (because the air compartments are not being simulated).   For the 2 </w:t>
      </w:r>
      <w:r w:rsidR="00F559F4">
        <w:t>SV</w:t>
      </w:r>
      <w:r w:rsidR="00AF0506" w:rsidRPr="002B4CF5">
        <w:t xml:space="preserve"> model, the two equations are given by equations </w:t>
      </w:r>
      <w:r w:rsidR="005176C3">
        <w:t>18</w:t>
      </w:r>
      <w:r w:rsidR="00AF0506" w:rsidRPr="002B4CF5">
        <w:t xml:space="preserve">a and </w:t>
      </w:r>
      <w:r w:rsidR="005176C3">
        <w:t>18</w:t>
      </w:r>
      <w:r w:rsidR="00AF0506" w:rsidRPr="002B4CF5">
        <w:t>b, omitting the vvd vapor deposition source term.  In these equations R is understood to be 1.0 (</w:t>
      </w:r>
      <w:proofErr w:type="gramStart"/>
      <w:r w:rsidR="00AF0506" w:rsidRPr="002B4CF5">
        <w:t>Kd</w:t>
      </w:r>
      <w:proofErr w:type="gramEnd"/>
      <w:r w:rsidR="00AF0506" w:rsidRPr="002B4CF5">
        <w:t xml:space="preserve"> = 0).</w:t>
      </w:r>
    </w:p>
    <w:p w:rsidR="00AF0506" w:rsidRPr="002B4CF5" w:rsidRDefault="00AF0506" w:rsidP="00AF0506">
      <w:r w:rsidRPr="002B4CF5">
        <w:t xml:space="preserve">For the 1 SV model (dissolved concentration), the mass balance equation is given by equation </w:t>
      </w:r>
      <w:r w:rsidR="005176C3">
        <w:t>18</w:t>
      </w:r>
      <w:r w:rsidRPr="002B4CF5">
        <w:t xml:space="preserve">a, omitting the vvd, kds, and ks terms.  R is determined as </w:t>
      </w:r>
      <w:r w:rsidRPr="002B4CF5">
        <w:rPr>
          <w:position w:val="-24"/>
        </w:rPr>
        <w:object w:dxaOrig="1460" w:dyaOrig="620">
          <v:shape id="_x0000_i1064" type="#_x0000_t75" style="width:73.9pt;height:30.1pt" o:ole="">
            <v:imagedata r:id="rId78" o:title=""/>
          </v:shape>
          <o:OLEObject Type="Embed" ProgID="Equation.3" ShapeID="_x0000_i1064" DrawAspect="Content" ObjectID="_1575791589" r:id="rId79"/>
        </w:object>
      </w:r>
      <w:r w:rsidRPr="002B4CF5">
        <w:t xml:space="preserve">  and </w:t>
      </w:r>
      <w:proofErr w:type="spellStart"/>
      <w:proofErr w:type="gramStart"/>
      <w:r w:rsidRPr="002B4CF5">
        <w:t>Kd</w:t>
      </w:r>
      <w:proofErr w:type="spellEnd"/>
      <w:proofErr w:type="gramEnd"/>
      <w:r w:rsidRPr="002B4CF5">
        <w:t xml:space="preserve"> is not equal to zero.  </w:t>
      </w:r>
    </w:p>
    <w:p w:rsidR="00AF0506" w:rsidRPr="002B4CF5" w:rsidRDefault="00AF0506" w:rsidP="00AF0506">
      <w:r w:rsidRPr="002B4CF5">
        <w:t>We ran both models for the strongly sorbing chemical 1 (see Table</w:t>
      </w:r>
      <w:r w:rsidR="00B646C7">
        <w:t xml:space="preserve"> </w:t>
      </w:r>
      <w:r w:rsidRPr="002B4CF5">
        <w:t xml:space="preserve">1 for Model 1’s Kd and Model 2’s ks / kds ratio).  For the 1 SV model, the initial dissolved concentration in compartment 2 was </w:t>
      </w:r>
      <w:proofErr w:type="gramStart"/>
      <w:r w:rsidRPr="002B4CF5">
        <w:t>100 g/m</w:t>
      </w:r>
      <w:r w:rsidRPr="002B4CF5">
        <w:rPr>
          <w:vertAlign w:val="superscript"/>
        </w:rPr>
        <w:t>3</w:t>
      </w:r>
      <w:r w:rsidRPr="002B4CF5">
        <w:t xml:space="preserve"> representing a spill of some aqueous waste</w:t>
      </w:r>
      <w:proofErr w:type="gramEnd"/>
      <w:r w:rsidRPr="002B4CF5">
        <w:t>.  For the 2 SV model, the same initial condition for Cd was used.  For Cs, an initial condition of 900 g/m</w:t>
      </w:r>
      <w:r w:rsidRPr="002B4CF5">
        <w:rPr>
          <w:vertAlign w:val="superscript"/>
        </w:rPr>
        <w:t>3</w:t>
      </w:r>
      <w:r w:rsidRPr="002B4CF5">
        <w:t xml:space="preserve"> was used, reflecting the sorbed fraction (at equilibrium) corresponding to the initial Cd concentration (see Table 1).  </w:t>
      </w:r>
      <w:r w:rsidR="00B646C7">
        <w:t>For</w:t>
      </w:r>
      <w:r w:rsidRPr="002B4CF5">
        <w:t xml:space="preserve"> the 2 SV model, the ks and kds values </w:t>
      </w:r>
      <w:r w:rsidR="00B646C7">
        <w:t xml:space="preserve">were assigned </w:t>
      </w:r>
      <w:r w:rsidRPr="002B4CF5">
        <w:t>in accordance with the ks/kds ratio shown in Table 1, and with an assumed value for kds of 0.1/day  (ks = 0.9/day).  These 1</w:t>
      </w:r>
      <w:r w:rsidRPr="002B4CF5">
        <w:rPr>
          <w:vertAlign w:val="superscript"/>
        </w:rPr>
        <w:t>st</w:t>
      </w:r>
      <w:r w:rsidRPr="002B4CF5">
        <w:t xml:space="preserve"> order rate constants are reasonably “fast”, e.g. an 0.1/day rate constant can be interpreted as a process affecting approximately 10% of the total chemical mass per day (Chapra, 1997), but would still not represent “instantaneous” equilibrium as implicit in the 1 SV model.     We ran the models for 1000 days and the time series results from the two models for Cd in the top and bottom compartments are shown in Figure </w:t>
      </w:r>
      <w:r w:rsidR="00B646C7">
        <w:t>C</w:t>
      </w:r>
      <w:r w:rsidRPr="002B4CF5">
        <w:t>-1 for the farm field column and the buffer column.</w:t>
      </w:r>
    </w:p>
    <w:p w:rsidR="00202F35" w:rsidRDefault="00202F35" w:rsidP="00202F35">
      <w:pPr>
        <w:jc w:val="center"/>
      </w:pPr>
      <w:r>
        <w:rPr>
          <w:noProof/>
        </w:rPr>
        <w:drawing>
          <wp:inline distT="0" distB="0" distL="0" distR="0" wp14:anchorId="539F1402">
            <wp:extent cx="2509055" cy="149360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512601" cy="1495713"/>
                    </a:xfrm>
                    <a:prstGeom prst="rect">
                      <a:avLst/>
                    </a:prstGeom>
                    <a:noFill/>
                  </pic:spPr>
                </pic:pic>
              </a:graphicData>
            </a:graphic>
          </wp:inline>
        </w:drawing>
      </w:r>
      <w:r>
        <w:rPr>
          <w:noProof/>
        </w:rPr>
        <w:drawing>
          <wp:inline distT="0" distB="0" distL="0" distR="0" wp14:anchorId="69219ABF" wp14:editId="493A842D">
            <wp:extent cx="2517775" cy="1499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17775" cy="1499870"/>
                    </a:xfrm>
                    <a:prstGeom prst="rect">
                      <a:avLst/>
                    </a:prstGeom>
                    <a:noFill/>
                  </pic:spPr>
                </pic:pic>
              </a:graphicData>
            </a:graphic>
          </wp:inline>
        </w:drawing>
      </w:r>
    </w:p>
    <w:p w:rsidR="00AF0506" w:rsidRPr="002B4CF5" w:rsidRDefault="00AF0506" w:rsidP="00AF0506">
      <w:pPr>
        <w:jc w:val="center"/>
        <w:rPr>
          <w:b/>
        </w:rPr>
      </w:pPr>
      <w:r w:rsidRPr="002B4CF5">
        <w:rPr>
          <w:b/>
        </w:rPr>
        <w:t xml:space="preserve">Figure </w:t>
      </w:r>
      <w:r w:rsidR="00B646C7">
        <w:rPr>
          <w:b/>
        </w:rPr>
        <w:t>C</w:t>
      </w:r>
      <w:r w:rsidRPr="002B4CF5">
        <w:rPr>
          <w:b/>
        </w:rPr>
        <w:t xml:space="preserve">-1.  Dissolved Concentrations for 2 SV </w:t>
      </w:r>
      <w:proofErr w:type="gramStart"/>
      <w:r w:rsidRPr="002B4CF5">
        <w:rPr>
          <w:b/>
        </w:rPr>
        <w:t>Versus</w:t>
      </w:r>
      <w:proofErr w:type="gramEnd"/>
      <w:r w:rsidRPr="002B4CF5">
        <w:rPr>
          <w:b/>
        </w:rPr>
        <w:t xml:space="preserve"> 1 SV Models for Top and Bottom Field and Buffer Compartments</w:t>
      </w:r>
    </w:p>
    <w:p w:rsidR="00AF0506" w:rsidRPr="002B4CF5" w:rsidRDefault="00AF0506" w:rsidP="00AF0506">
      <w:r w:rsidRPr="002B4CF5">
        <w:t xml:space="preserve">We see several phenomena in the figures.  First, the comparison between top and bottom compartments in both figures shows the downward movement of the chemical due to transport over the 1,000 days.  Peak concentration in the field’s top compartment is at time 0 (the spill) while the peak concentration at the bottom compartment occurs at approximately 400 days.  Peak concentration in the </w:t>
      </w:r>
      <w:r w:rsidRPr="002B4CF5">
        <w:lastRenderedPageBreak/>
        <w:t xml:space="preserve">buffer top compartment is at approximately 30 days, as the runoff from compartment 2 transports chemical into compartment 14.  The concentrations in the buffer compartments are also reduced significantly from those in the field compartments due to spatial dilution of the mass and loss due to volatilization.  </w:t>
      </w:r>
    </w:p>
    <w:p w:rsidR="00FD7E30" w:rsidRDefault="00AF0506">
      <w:pPr>
        <w:rPr>
          <w:b/>
          <w:color w:val="FF0000"/>
        </w:rPr>
      </w:pPr>
      <w:r w:rsidRPr="002B4CF5">
        <w:t xml:space="preserve">Regarding the instantaneous (1 SV model) versus dynamic sorption (2 SV model) assumptions, results of the two models are quite similar but with some differences due to slight non-instantaneous equilibrium conditions in the 2 SV model at our specified ks and kds absolute values.  A final run of the 2 SV model was made increasing both these values an order of </w:t>
      </w:r>
      <w:proofErr w:type="gramStart"/>
      <w:r w:rsidRPr="002B4CF5">
        <w:t>magnitude,</w:t>
      </w:r>
      <w:proofErr w:type="gramEnd"/>
      <w:r w:rsidRPr="002B4CF5">
        <w:t xml:space="preserve"> and the results are essentially identical to those of the instantaneous equilibrium model, thus showing the equivalence potential of these two approaches.  The advantage of the instantaneous equilibrium approach is parsimony in the number of </w:t>
      </w:r>
      <w:r w:rsidR="00F559F4">
        <w:t>SV</w:t>
      </w:r>
      <w:r w:rsidRPr="002B4CF5">
        <w:t>s modeled while the advantage of the dynamic sorption approach is maximum flexibility.</w:t>
      </w:r>
    </w:p>
    <w:p w:rsidR="00C41ED6" w:rsidRDefault="00C41ED6" w:rsidP="00935F3D">
      <w:pPr>
        <w:rPr>
          <w:rFonts w:eastAsia="Times New Roman"/>
          <w:szCs w:val="24"/>
        </w:rPr>
      </w:pPr>
    </w:p>
    <w:sectPr w:rsidR="00C41ED6">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50B" w:rsidRDefault="0001650B" w:rsidP="005F02BE">
      <w:pPr>
        <w:spacing w:after="0" w:line="240" w:lineRule="auto"/>
      </w:pPr>
      <w:r>
        <w:separator/>
      </w:r>
    </w:p>
  </w:endnote>
  <w:endnote w:type="continuationSeparator" w:id="0">
    <w:p w:rsidR="0001650B" w:rsidRDefault="0001650B" w:rsidP="005F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59212"/>
      <w:docPartObj>
        <w:docPartGallery w:val="Page Numbers (Bottom of Page)"/>
        <w:docPartUnique/>
      </w:docPartObj>
    </w:sdtPr>
    <w:sdtEndPr>
      <w:rPr>
        <w:noProof/>
      </w:rPr>
    </w:sdtEndPr>
    <w:sdtContent>
      <w:p w:rsidR="0015346D" w:rsidRDefault="0015346D">
        <w:pPr>
          <w:pStyle w:val="Footer"/>
          <w:jc w:val="center"/>
        </w:pPr>
        <w:r>
          <w:fldChar w:fldCharType="begin"/>
        </w:r>
        <w:r>
          <w:instrText xml:space="preserve"> PAGE   \* MERGEFORMAT </w:instrText>
        </w:r>
        <w:r>
          <w:fldChar w:fldCharType="separate"/>
        </w:r>
        <w:r w:rsidR="002D6468">
          <w:rPr>
            <w:noProof/>
          </w:rPr>
          <w:t>1</w:t>
        </w:r>
        <w:r>
          <w:rPr>
            <w:noProof/>
          </w:rPr>
          <w:fldChar w:fldCharType="end"/>
        </w:r>
      </w:p>
    </w:sdtContent>
  </w:sdt>
  <w:p w:rsidR="0015346D" w:rsidRDefault="001534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50B" w:rsidRDefault="0001650B" w:rsidP="005F02BE">
      <w:pPr>
        <w:spacing w:after="0" w:line="240" w:lineRule="auto"/>
      </w:pPr>
      <w:r>
        <w:separator/>
      </w:r>
    </w:p>
  </w:footnote>
  <w:footnote w:type="continuationSeparator" w:id="0">
    <w:p w:rsidR="0001650B" w:rsidRDefault="0001650B" w:rsidP="005F02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BEF"/>
    <w:multiLevelType w:val="hybridMultilevel"/>
    <w:tmpl w:val="21DA29B0"/>
    <w:lvl w:ilvl="0" w:tplc="014865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77C4A"/>
    <w:multiLevelType w:val="singleLevel"/>
    <w:tmpl w:val="A0F6A99E"/>
    <w:lvl w:ilvl="0">
      <w:start w:val="1"/>
      <w:numFmt w:val="bullet"/>
      <w:pStyle w:val="bullets"/>
      <w:lvlText w:val=""/>
      <w:lvlJc w:val="left"/>
      <w:pPr>
        <w:tabs>
          <w:tab w:val="num" w:pos="1080"/>
        </w:tabs>
        <w:ind w:left="1080" w:hanging="360"/>
      </w:pPr>
      <w:rPr>
        <w:rFonts w:ascii="Wingdings" w:hAnsi="Wingdings" w:hint="default"/>
        <w:sz w:val="24"/>
      </w:rPr>
    </w:lvl>
  </w:abstractNum>
  <w:abstractNum w:abstractNumId="2">
    <w:nsid w:val="262352B3"/>
    <w:multiLevelType w:val="hybridMultilevel"/>
    <w:tmpl w:val="2EC0C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E6946"/>
    <w:multiLevelType w:val="hybridMultilevel"/>
    <w:tmpl w:val="5B52B740"/>
    <w:lvl w:ilvl="0" w:tplc="810C1DD8">
      <w:start w:val="3"/>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565AD"/>
    <w:multiLevelType w:val="hybridMultilevel"/>
    <w:tmpl w:val="5A48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A41B21"/>
    <w:multiLevelType w:val="hybridMultilevel"/>
    <w:tmpl w:val="DCAC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98"/>
    <w:rsid w:val="00001185"/>
    <w:rsid w:val="00003045"/>
    <w:rsid w:val="00004AA8"/>
    <w:rsid w:val="0000669B"/>
    <w:rsid w:val="0000774E"/>
    <w:rsid w:val="0001217C"/>
    <w:rsid w:val="00012B61"/>
    <w:rsid w:val="00012DB7"/>
    <w:rsid w:val="0001650B"/>
    <w:rsid w:val="00020584"/>
    <w:rsid w:val="0002161E"/>
    <w:rsid w:val="00022ABD"/>
    <w:rsid w:val="0002461E"/>
    <w:rsid w:val="00025C16"/>
    <w:rsid w:val="00025FB0"/>
    <w:rsid w:val="000276F9"/>
    <w:rsid w:val="00030D80"/>
    <w:rsid w:val="00031AE8"/>
    <w:rsid w:val="00032202"/>
    <w:rsid w:val="00034600"/>
    <w:rsid w:val="000347C3"/>
    <w:rsid w:val="00037200"/>
    <w:rsid w:val="00042BD7"/>
    <w:rsid w:val="00043A25"/>
    <w:rsid w:val="0004796D"/>
    <w:rsid w:val="000547C3"/>
    <w:rsid w:val="00056F63"/>
    <w:rsid w:val="00057A1F"/>
    <w:rsid w:val="00070F92"/>
    <w:rsid w:val="000721B5"/>
    <w:rsid w:val="00076FE3"/>
    <w:rsid w:val="000827BE"/>
    <w:rsid w:val="00083AA5"/>
    <w:rsid w:val="000846DA"/>
    <w:rsid w:val="00084C17"/>
    <w:rsid w:val="00085573"/>
    <w:rsid w:val="00085DC5"/>
    <w:rsid w:val="000861E2"/>
    <w:rsid w:val="00090BCA"/>
    <w:rsid w:val="00091E65"/>
    <w:rsid w:val="000927A5"/>
    <w:rsid w:val="000935BC"/>
    <w:rsid w:val="000A2947"/>
    <w:rsid w:val="000A4CFC"/>
    <w:rsid w:val="000A688F"/>
    <w:rsid w:val="000A6C55"/>
    <w:rsid w:val="000C36DD"/>
    <w:rsid w:val="000C5378"/>
    <w:rsid w:val="000D11B3"/>
    <w:rsid w:val="000D212E"/>
    <w:rsid w:val="000D55CE"/>
    <w:rsid w:val="000D6A79"/>
    <w:rsid w:val="000D6F49"/>
    <w:rsid w:val="000E0128"/>
    <w:rsid w:val="000E16A5"/>
    <w:rsid w:val="000E1D3D"/>
    <w:rsid w:val="000E61FC"/>
    <w:rsid w:val="000F0414"/>
    <w:rsid w:val="000F2810"/>
    <w:rsid w:val="000F428C"/>
    <w:rsid w:val="000F5430"/>
    <w:rsid w:val="000F6F3F"/>
    <w:rsid w:val="00101BBA"/>
    <w:rsid w:val="00104160"/>
    <w:rsid w:val="001073E5"/>
    <w:rsid w:val="001139FB"/>
    <w:rsid w:val="00113FAA"/>
    <w:rsid w:val="0011560F"/>
    <w:rsid w:val="00115B3E"/>
    <w:rsid w:val="00126926"/>
    <w:rsid w:val="00132532"/>
    <w:rsid w:val="001412E3"/>
    <w:rsid w:val="001509EC"/>
    <w:rsid w:val="00150A57"/>
    <w:rsid w:val="0015346D"/>
    <w:rsid w:val="00160A23"/>
    <w:rsid w:val="00161718"/>
    <w:rsid w:val="0017241E"/>
    <w:rsid w:val="00172AC7"/>
    <w:rsid w:val="00172B70"/>
    <w:rsid w:val="0017373D"/>
    <w:rsid w:val="0017403F"/>
    <w:rsid w:val="00180DB4"/>
    <w:rsid w:val="0018368C"/>
    <w:rsid w:val="00183FAA"/>
    <w:rsid w:val="00186275"/>
    <w:rsid w:val="00196815"/>
    <w:rsid w:val="001A16E5"/>
    <w:rsid w:val="001A1AD6"/>
    <w:rsid w:val="001A39EF"/>
    <w:rsid w:val="001A4259"/>
    <w:rsid w:val="001A6407"/>
    <w:rsid w:val="001B1362"/>
    <w:rsid w:val="001B1B51"/>
    <w:rsid w:val="001B5D7D"/>
    <w:rsid w:val="001C0D9E"/>
    <w:rsid w:val="001C1B66"/>
    <w:rsid w:val="001C2108"/>
    <w:rsid w:val="001C39FB"/>
    <w:rsid w:val="001C476B"/>
    <w:rsid w:val="001C6BFD"/>
    <w:rsid w:val="001C6F91"/>
    <w:rsid w:val="001C72B4"/>
    <w:rsid w:val="001D4186"/>
    <w:rsid w:val="001F53C2"/>
    <w:rsid w:val="001F735A"/>
    <w:rsid w:val="002005BF"/>
    <w:rsid w:val="00200C61"/>
    <w:rsid w:val="0020172F"/>
    <w:rsid w:val="00202F35"/>
    <w:rsid w:val="00207357"/>
    <w:rsid w:val="00212735"/>
    <w:rsid w:val="002263FB"/>
    <w:rsid w:val="00227742"/>
    <w:rsid w:val="0023589E"/>
    <w:rsid w:val="00237494"/>
    <w:rsid w:val="002479D8"/>
    <w:rsid w:val="00254176"/>
    <w:rsid w:val="00255BE4"/>
    <w:rsid w:val="002563B0"/>
    <w:rsid w:val="0025689A"/>
    <w:rsid w:val="002577D4"/>
    <w:rsid w:val="00265CB3"/>
    <w:rsid w:val="00267819"/>
    <w:rsid w:val="00276728"/>
    <w:rsid w:val="002773B2"/>
    <w:rsid w:val="00280A17"/>
    <w:rsid w:val="00285040"/>
    <w:rsid w:val="0028749B"/>
    <w:rsid w:val="0029284C"/>
    <w:rsid w:val="00293299"/>
    <w:rsid w:val="00293F98"/>
    <w:rsid w:val="00294C43"/>
    <w:rsid w:val="00295E8F"/>
    <w:rsid w:val="0029716E"/>
    <w:rsid w:val="002A56FA"/>
    <w:rsid w:val="002A5EB3"/>
    <w:rsid w:val="002A63D6"/>
    <w:rsid w:val="002A7345"/>
    <w:rsid w:val="002B0CFA"/>
    <w:rsid w:val="002B3AB9"/>
    <w:rsid w:val="002B3DE8"/>
    <w:rsid w:val="002B4CF5"/>
    <w:rsid w:val="002C06D2"/>
    <w:rsid w:val="002C67B4"/>
    <w:rsid w:val="002C68CA"/>
    <w:rsid w:val="002D132E"/>
    <w:rsid w:val="002D50D3"/>
    <w:rsid w:val="002D6468"/>
    <w:rsid w:val="002E1F2E"/>
    <w:rsid w:val="002E421B"/>
    <w:rsid w:val="002E609B"/>
    <w:rsid w:val="002F5154"/>
    <w:rsid w:val="002F6B36"/>
    <w:rsid w:val="00306176"/>
    <w:rsid w:val="003101E1"/>
    <w:rsid w:val="00310A52"/>
    <w:rsid w:val="00311607"/>
    <w:rsid w:val="00311B07"/>
    <w:rsid w:val="00312C06"/>
    <w:rsid w:val="003142EC"/>
    <w:rsid w:val="00314ED5"/>
    <w:rsid w:val="0031642E"/>
    <w:rsid w:val="00320EDA"/>
    <w:rsid w:val="003212E6"/>
    <w:rsid w:val="00325EB5"/>
    <w:rsid w:val="003340D4"/>
    <w:rsid w:val="00334D81"/>
    <w:rsid w:val="0033667D"/>
    <w:rsid w:val="003434AD"/>
    <w:rsid w:val="003448EF"/>
    <w:rsid w:val="00344AA8"/>
    <w:rsid w:val="003461B8"/>
    <w:rsid w:val="00356BF2"/>
    <w:rsid w:val="003578F8"/>
    <w:rsid w:val="003612EA"/>
    <w:rsid w:val="00363D2D"/>
    <w:rsid w:val="0036762B"/>
    <w:rsid w:val="00367FFE"/>
    <w:rsid w:val="003724E2"/>
    <w:rsid w:val="003729DA"/>
    <w:rsid w:val="00372CF1"/>
    <w:rsid w:val="003771D7"/>
    <w:rsid w:val="0038342E"/>
    <w:rsid w:val="00383871"/>
    <w:rsid w:val="00385948"/>
    <w:rsid w:val="003859E6"/>
    <w:rsid w:val="00387A8D"/>
    <w:rsid w:val="00392DBD"/>
    <w:rsid w:val="003945B3"/>
    <w:rsid w:val="003971C7"/>
    <w:rsid w:val="003A06F2"/>
    <w:rsid w:val="003B03B6"/>
    <w:rsid w:val="003B0798"/>
    <w:rsid w:val="003B5BF6"/>
    <w:rsid w:val="003B7F40"/>
    <w:rsid w:val="003C16BE"/>
    <w:rsid w:val="003C1F0B"/>
    <w:rsid w:val="003C277B"/>
    <w:rsid w:val="003C2F00"/>
    <w:rsid w:val="003C3C61"/>
    <w:rsid w:val="003D35C3"/>
    <w:rsid w:val="003D48B2"/>
    <w:rsid w:val="003D739C"/>
    <w:rsid w:val="003E0811"/>
    <w:rsid w:val="003E6E37"/>
    <w:rsid w:val="003F4E69"/>
    <w:rsid w:val="00403548"/>
    <w:rsid w:val="0040493F"/>
    <w:rsid w:val="00405CBA"/>
    <w:rsid w:val="00406B30"/>
    <w:rsid w:val="004116D2"/>
    <w:rsid w:val="00411B91"/>
    <w:rsid w:val="00412C00"/>
    <w:rsid w:val="0041447B"/>
    <w:rsid w:val="00417C90"/>
    <w:rsid w:val="00417D64"/>
    <w:rsid w:val="00422F93"/>
    <w:rsid w:val="00424575"/>
    <w:rsid w:val="004254C0"/>
    <w:rsid w:val="00425BEA"/>
    <w:rsid w:val="004273D6"/>
    <w:rsid w:val="00430D0B"/>
    <w:rsid w:val="00433A74"/>
    <w:rsid w:val="00433B00"/>
    <w:rsid w:val="00443E64"/>
    <w:rsid w:val="004464B7"/>
    <w:rsid w:val="00450BA8"/>
    <w:rsid w:val="00453F6E"/>
    <w:rsid w:val="004548D1"/>
    <w:rsid w:val="0045527C"/>
    <w:rsid w:val="00455627"/>
    <w:rsid w:val="0046078A"/>
    <w:rsid w:val="004615C0"/>
    <w:rsid w:val="0046669E"/>
    <w:rsid w:val="004668AC"/>
    <w:rsid w:val="00470AAF"/>
    <w:rsid w:val="004726A7"/>
    <w:rsid w:val="004744D1"/>
    <w:rsid w:val="004752CD"/>
    <w:rsid w:val="00476B4F"/>
    <w:rsid w:val="00476E33"/>
    <w:rsid w:val="0047783C"/>
    <w:rsid w:val="00483642"/>
    <w:rsid w:val="004852B9"/>
    <w:rsid w:val="004859BA"/>
    <w:rsid w:val="004917F4"/>
    <w:rsid w:val="00495555"/>
    <w:rsid w:val="004973CC"/>
    <w:rsid w:val="004A0A12"/>
    <w:rsid w:val="004A1D1B"/>
    <w:rsid w:val="004A5ADF"/>
    <w:rsid w:val="004B0072"/>
    <w:rsid w:val="004B20E3"/>
    <w:rsid w:val="004B20EE"/>
    <w:rsid w:val="004B24FC"/>
    <w:rsid w:val="004B29F2"/>
    <w:rsid w:val="004B56D5"/>
    <w:rsid w:val="004B6FCF"/>
    <w:rsid w:val="004C1FA1"/>
    <w:rsid w:val="004C277B"/>
    <w:rsid w:val="004C5998"/>
    <w:rsid w:val="004C78EA"/>
    <w:rsid w:val="004D038E"/>
    <w:rsid w:val="004D2DB5"/>
    <w:rsid w:val="004D47F0"/>
    <w:rsid w:val="004D4948"/>
    <w:rsid w:val="004D5B33"/>
    <w:rsid w:val="004D6CEE"/>
    <w:rsid w:val="004D761B"/>
    <w:rsid w:val="004D7A88"/>
    <w:rsid w:val="004E06DF"/>
    <w:rsid w:val="004E132B"/>
    <w:rsid w:val="004E2911"/>
    <w:rsid w:val="004E48B6"/>
    <w:rsid w:val="004E78B0"/>
    <w:rsid w:val="004F08B5"/>
    <w:rsid w:val="004F4787"/>
    <w:rsid w:val="004F52DF"/>
    <w:rsid w:val="00500437"/>
    <w:rsid w:val="00503081"/>
    <w:rsid w:val="00503E07"/>
    <w:rsid w:val="0050435D"/>
    <w:rsid w:val="00507DC4"/>
    <w:rsid w:val="0051109B"/>
    <w:rsid w:val="005176C3"/>
    <w:rsid w:val="00520868"/>
    <w:rsid w:val="00524AB8"/>
    <w:rsid w:val="00525EB4"/>
    <w:rsid w:val="0052620C"/>
    <w:rsid w:val="00526B83"/>
    <w:rsid w:val="00526B97"/>
    <w:rsid w:val="005273F6"/>
    <w:rsid w:val="00532921"/>
    <w:rsid w:val="005344B3"/>
    <w:rsid w:val="005376A8"/>
    <w:rsid w:val="00537A21"/>
    <w:rsid w:val="00540968"/>
    <w:rsid w:val="00545B57"/>
    <w:rsid w:val="005506FE"/>
    <w:rsid w:val="00564AC2"/>
    <w:rsid w:val="00566590"/>
    <w:rsid w:val="005714D4"/>
    <w:rsid w:val="0057156C"/>
    <w:rsid w:val="00574148"/>
    <w:rsid w:val="00575F55"/>
    <w:rsid w:val="0057643D"/>
    <w:rsid w:val="00581904"/>
    <w:rsid w:val="00581E2A"/>
    <w:rsid w:val="00595FB5"/>
    <w:rsid w:val="005A050F"/>
    <w:rsid w:val="005A0816"/>
    <w:rsid w:val="005A096B"/>
    <w:rsid w:val="005A5FF5"/>
    <w:rsid w:val="005A6FA7"/>
    <w:rsid w:val="005A74A1"/>
    <w:rsid w:val="005B0003"/>
    <w:rsid w:val="005B37A7"/>
    <w:rsid w:val="005B3891"/>
    <w:rsid w:val="005B4631"/>
    <w:rsid w:val="005B74C1"/>
    <w:rsid w:val="005B7F78"/>
    <w:rsid w:val="005C1C72"/>
    <w:rsid w:val="005C369A"/>
    <w:rsid w:val="005D2A74"/>
    <w:rsid w:val="005D64BC"/>
    <w:rsid w:val="005D768D"/>
    <w:rsid w:val="005D7C17"/>
    <w:rsid w:val="005E5203"/>
    <w:rsid w:val="005E7A78"/>
    <w:rsid w:val="005F02BE"/>
    <w:rsid w:val="005F0301"/>
    <w:rsid w:val="005F0F8E"/>
    <w:rsid w:val="005F4E31"/>
    <w:rsid w:val="005F69B6"/>
    <w:rsid w:val="005F74DE"/>
    <w:rsid w:val="005F7F09"/>
    <w:rsid w:val="00601AF0"/>
    <w:rsid w:val="00601E42"/>
    <w:rsid w:val="00603924"/>
    <w:rsid w:val="00604C97"/>
    <w:rsid w:val="00605F9F"/>
    <w:rsid w:val="00611A5E"/>
    <w:rsid w:val="00613545"/>
    <w:rsid w:val="006147CA"/>
    <w:rsid w:val="00617393"/>
    <w:rsid w:val="00622788"/>
    <w:rsid w:val="006255F4"/>
    <w:rsid w:val="006323F8"/>
    <w:rsid w:val="0063575F"/>
    <w:rsid w:val="006357BA"/>
    <w:rsid w:val="00637384"/>
    <w:rsid w:val="006419E3"/>
    <w:rsid w:val="00642330"/>
    <w:rsid w:val="0064327F"/>
    <w:rsid w:val="00643C3F"/>
    <w:rsid w:val="006452F7"/>
    <w:rsid w:val="00650D51"/>
    <w:rsid w:val="006523EC"/>
    <w:rsid w:val="00656D03"/>
    <w:rsid w:val="0066641D"/>
    <w:rsid w:val="00666762"/>
    <w:rsid w:val="00666C18"/>
    <w:rsid w:val="00666EB9"/>
    <w:rsid w:val="006709C7"/>
    <w:rsid w:val="0067125C"/>
    <w:rsid w:val="00671D94"/>
    <w:rsid w:val="00672ABE"/>
    <w:rsid w:val="00674260"/>
    <w:rsid w:val="006742C4"/>
    <w:rsid w:val="00675D11"/>
    <w:rsid w:val="006825B5"/>
    <w:rsid w:val="006862A3"/>
    <w:rsid w:val="00686CF7"/>
    <w:rsid w:val="0069253B"/>
    <w:rsid w:val="00693CA7"/>
    <w:rsid w:val="00696CEF"/>
    <w:rsid w:val="006A0CE1"/>
    <w:rsid w:val="006A2003"/>
    <w:rsid w:val="006A36E0"/>
    <w:rsid w:val="006A684F"/>
    <w:rsid w:val="006A74FC"/>
    <w:rsid w:val="006A7F2F"/>
    <w:rsid w:val="006B13BF"/>
    <w:rsid w:val="006B3B62"/>
    <w:rsid w:val="006B4393"/>
    <w:rsid w:val="006B4DF9"/>
    <w:rsid w:val="006C4823"/>
    <w:rsid w:val="006C4D76"/>
    <w:rsid w:val="006C5E11"/>
    <w:rsid w:val="006C60BD"/>
    <w:rsid w:val="006C7805"/>
    <w:rsid w:val="006D0153"/>
    <w:rsid w:val="006D40E8"/>
    <w:rsid w:val="006E1662"/>
    <w:rsid w:val="006E220E"/>
    <w:rsid w:val="006E26EF"/>
    <w:rsid w:val="006E40A0"/>
    <w:rsid w:val="006F0166"/>
    <w:rsid w:val="006F0B86"/>
    <w:rsid w:val="006F1434"/>
    <w:rsid w:val="006F396A"/>
    <w:rsid w:val="006F3FC9"/>
    <w:rsid w:val="00702AB9"/>
    <w:rsid w:val="0070380F"/>
    <w:rsid w:val="007054E8"/>
    <w:rsid w:val="00705A4D"/>
    <w:rsid w:val="00711EF4"/>
    <w:rsid w:val="007124FB"/>
    <w:rsid w:val="00713766"/>
    <w:rsid w:val="007255BF"/>
    <w:rsid w:val="007277E1"/>
    <w:rsid w:val="00731A6F"/>
    <w:rsid w:val="00735D18"/>
    <w:rsid w:val="00736FCC"/>
    <w:rsid w:val="0073747B"/>
    <w:rsid w:val="00741457"/>
    <w:rsid w:val="00745960"/>
    <w:rsid w:val="0075043C"/>
    <w:rsid w:val="007509E0"/>
    <w:rsid w:val="00750F37"/>
    <w:rsid w:val="0075513E"/>
    <w:rsid w:val="00755951"/>
    <w:rsid w:val="00757319"/>
    <w:rsid w:val="00757543"/>
    <w:rsid w:val="007577E5"/>
    <w:rsid w:val="00757A0A"/>
    <w:rsid w:val="007617C9"/>
    <w:rsid w:val="00762192"/>
    <w:rsid w:val="00770858"/>
    <w:rsid w:val="00771C51"/>
    <w:rsid w:val="00772109"/>
    <w:rsid w:val="00775CC5"/>
    <w:rsid w:val="00780BEF"/>
    <w:rsid w:val="00786318"/>
    <w:rsid w:val="00787C05"/>
    <w:rsid w:val="00793100"/>
    <w:rsid w:val="00796415"/>
    <w:rsid w:val="007A2B22"/>
    <w:rsid w:val="007A33B7"/>
    <w:rsid w:val="007A6A62"/>
    <w:rsid w:val="007B10E1"/>
    <w:rsid w:val="007B3FA0"/>
    <w:rsid w:val="007B4965"/>
    <w:rsid w:val="007B551F"/>
    <w:rsid w:val="007B5D96"/>
    <w:rsid w:val="007C2E58"/>
    <w:rsid w:val="007C38D4"/>
    <w:rsid w:val="007C3B1C"/>
    <w:rsid w:val="007C520A"/>
    <w:rsid w:val="007C58E6"/>
    <w:rsid w:val="007C7493"/>
    <w:rsid w:val="007D1048"/>
    <w:rsid w:val="007D2BF0"/>
    <w:rsid w:val="007D4840"/>
    <w:rsid w:val="007D6077"/>
    <w:rsid w:val="007E0A36"/>
    <w:rsid w:val="007E1768"/>
    <w:rsid w:val="007E479D"/>
    <w:rsid w:val="007E4E79"/>
    <w:rsid w:val="007E7543"/>
    <w:rsid w:val="007F03DC"/>
    <w:rsid w:val="007F1AAE"/>
    <w:rsid w:val="007F2955"/>
    <w:rsid w:val="00801409"/>
    <w:rsid w:val="00803B43"/>
    <w:rsid w:val="00803CDF"/>
    <w:rsid w:val="008056D4"/>
    <w:rsid w:val="00805E4E"/>
    <w:rsid w:val="00806E02"/>
    <w:rsid w:val="00807A11"/>
    <w:rsid w:val="008131EE"/>
    <w:rsid w:val="00813576"/>
    <w:rsid w:val="00816681"/>
    <w:rsid w:val="00816E77"/>
    <w:rsid w:val="00821502"/>
    <w:rsid w:val="00821B91"/>
    <w:rsid w:val="00822B10"/>
    <w:rsid w:val="00825F3D"/>
    <w:rsid w:val="00827911"/>
    <w:rsid w:val="00830CBE"/>
    <w:rsid w:val="008356BB"/>
    <w:rsid w:val="00840994"/>
    <w:rsid w:val="008412FB"/>
    <w:rsid w:val="008424C0"/>
    <w:rsid w:val="00845105"/>
    <w:rsid w:val="00850AAC"/>
    <w:rsid w:val="008511D3"/>
    <w:rsid w:val="008513A7"/>
    <w:rsid w:val="00854941"/>
    <w:rsid w:val="00855802"/>
    <w:rsid w:val="00857520"/>
    <w:rsid w:val="00857E90"/>
    <w:rsid w:val="00860778"/>
    <w:rsid w:val="00860E13"/>
    <w:rsid w:val="00861DD0"/>
    <w:rsid w:val="00863A43"/>
    <w:rsid w:val="0086571E"/>
    <w:rsid w:val="0086680B"/>
    <w:rsid w:val="00877600"/>
    <w:rsid w:val="008807EE"/>
    <w:rsid w:val="0088312F"/>
    <w:rsid w:val="00883881"/>
    <w:rsid w:val="00886002"/>
    <w:rsid w:val="00887A28"/>
    <w:rsid w:val="00890461"/>
    <w:rsid w:val="008913A3"/>
    <w:rsid w:val="008933FA"/>
    <w:rsid w:val="0089391E"/>
    <w:rsid w:val="008A5C43"/>
    <w:rsid w:val="008A6F75"/>
    <w:rsid w:val="008A76EF"/>
    <w:rsid w:val="008A7F93"/>
    <w:rsid w:val="008B2643"/>
    <w:rsid w:val="008B2FC4"/>
    <w:rsid w:val="008B5443"/>
    <w:rsid w:val="008B5554"/>
    <w:rsid w:val="008B6E8C"/>
    <w:rsid w:val="008C2875"/>
    <w:rsid w:val="008C33F4"/>
    <w:rsid w:val="008D1BFC"/>
    <w:rsid w:val="008D2553"/>
    <w:rsid w:val="008F0E53"/>
    <w:rsid w:val="008F3D0E"/>
    <w:rsid w:val="008F562A"/>
    <w:rsid w:val="00901279"/>
    <w:rsid w:val="00901786"/>
    <w:rsid w:val="009034A1"/>
    <w:rsid w:val="00914D50"/>
    <w:rsid w:val="009206AD"/>
    <w:rsid w:val="00922A89"/>
    <w:rsid w:val="00925526"/>
    <w:rsid w:val="00926F5E"/>
    <w:rsid w:val="00933219"/>
    <w:rsid w:val="00935F3D"/>
    <w:rsid w:val="009437FB"/>
    <w:rsid w:val="009449C3"/>
    <w:rsid w:val="009467AD"/>
    <w:rsid w:val="00947A6C"/>
    <w:rsid w:val="009559E8"/>
    <w:rsid w:val="00970362"/>
    <w:rsid w:val="00973CE8"/>
    <w:rsid w:val="009831BD"/>
    <w:rsid w:val="0098359E"/>
    <w:rsid w:val="0098461D"/>
    <w:rsid w:val="00984B62"/>
    <w:rsid w:val="00986484"/>
    <w:rsid w:val="00993741"/>
    <w:rsid w:val="009A01B8"/>
    <w:rsid w:val="009A0219"/>
    <w:rsid w:val="009B13AE"/>
    <w:rsid w:val="009B2193"/>
    <w:rsid w:val="009B293D"/>
    <w:rsid w:val="009B3835"/>
    <w:rsid w:val="009B4051"/>
    <w:rsid w:val="009B4BF3"/>
    <w:rsid w:val="009C0A55"/>
    <w:rsid w:val="009C2B46"/>
    <w:rsid w:val="009C4C19"/>
    <w:rsid w:val="009D0529"/>
    <w:rsid w:val="009D59BC"/>
    <w:rsid w:val="009D6151"/>
    <w:rsid w:val="009E2EA7"/>
    <w:rsid w:val="009E40DF"/>
    <w:rsid w:val="009E4CF8"/>
    <w:rsid w:val="009E6005"/>
    <w:rsid w:val="009E6E98"/>
    <w:rsid w:val="009F00D9"/>
    <w:rsid w:val="009F1D0D"/>
    <w:rsid w:val="009F217E"/>
    <w:rsid w:val="009F419E"/>
    <w:rsid w:val="009F6AA0"/>
    <w:rsid w:val="009F74E4"/>
    <w:rsid w:val="00A00584"/>
    <w:rsid w:val="00A00950"/>
    <w:rsid w:val="00A10110"/>
    <w:rsid w:val="00A10D83"/>
    <w:rsid w:val="00A13ECC"/>
    <w:rsid w:val="00A1414F"/>
    <w:rsid w:val="00A17B40"/>
    <w:rsid w:val="00A20B88"/>
    <w:rsid w:val="00A237E3"/>
    <w:rsid w:val="00A23C13"/>
    <w:rsid w:val="00A267AC"/>
    <w:rsid w:val="00A26B01"/>
    <w:rsid w:val="00A3189D"/>
    <w:rsid w:val="00A32152"/>
    <w:rsid w:val="00A37550"/>
    <w:rsid w:val="00A45C65"/>
    <w:rsid w:val="00A45E95"/>
    <w:rsid w:val="00A47FA2"/>
    <w:rsid w:val="00A50EEE"/>
    <w:rsid w:val="00A5167C"/>
    <w:rsid w:val="00A53CAB"/>
    <w:rsid w:val="00A53D6A"/>
    <w:rsid w:val="00A5432E"/>
    <w:rsid w:val="00A549B7"/>
    <w:rsid w:val="00A62A8D"/>
    <w:rsid w:val="00A63002"/>
    <w:rsid w:val="00A64290"/>
    <w:rsid w:val="00A64406"/>
    <w:rsid w:val="00A65598"/>
    <w:rsid w:val="00A729E8"/>
    <w:rsid w:val="00A740C0"/>
    <w:rsid w:val="00A745BC"/>
    <w:rsid w:val="00A831B7"/>
    <w:rsid w:val="00A8629B"/>
    <w:rsid w:val="00A8685F"/>
    <w:rsid w:val="00A91130"/>
    <w:rsid w:val="00A916AC"/>
    <w:rsid w:val="00A91BB9"/>
    <w:rsid w:val="00A924F7"/>
    <w:rsid w:val="00A929B7"/>
    <w:rsid w:val="00A92D61"/>
    <w:rsid w:val="00A9380F"/>
    <w:rsid w:val="00A94297"/>
    <w:rsid w:val="00A95512"/>
    <w:rsid w:val="00A97F33"/>
    <w:rsid w:val="00AA1E73"/>
    <w:rsid w:val="00AB0EAE"/>
    <w:rsid w:val="00AB4088"/>
    <w:rsid w:val="00AB6835"/>
    <w:rsid w:val="00AB6F7F"/>
    <w:rsid w:val="00AB7EDE"/>
    <w:rsid w:val="00AC165D"/>
    <w:rsid w:val="00AC3815"/>
    <w:rsid w:val="00AC3A7F"/>
    <w:rsid w:val="00AC4003"/>
    <w:rsid w:val="00AC52B4"/>
    <w:rsid w:val="00AD0CD1"/>
    <w:rsid w:val="00AD22DF"/>
    <w:rsid w:val="00AD22E7"/>
    <w:rsid w:val="00AD6F3F"/>
    <w:rsid w:val="00AE156D"/>
    <w:rsid w:val="00AE40D6"/>
    <w:rsid w:val="00AE5586"/>
    <w:rsid w:val="00AF0506"/>
    <w:rsid w:val="00AF2FD7"/>
    <w:rsid w:val="00B0161E"/>
    <w:rsid w:val="00B03700"/>
    <w:rsid w:val="00B039CA"/>
    <w:rsid w:val="00B04BE6"/>
    <w:rsid w:val="00B04FBD"/>
    <w:rsid w:val="00B05A11"/>
    <w:rsid w:val="00B06FC8"/>
    <w:rsid w:val="00B077DD"/>
    <w:rsid w:val="00B07C8D"/>
    <w:rsid w:val="00B10009"/>
    <w:rsid w:val="00B16E47"/>
    <w:rsid w:val="00B2020E"/>
    <w:rsid w:val="00B21A92"/>
    <w:rsid w:val="00B21D1D"/>
    <w:rsid w:val="00B22D7D"/>
    <w:rsid w:val="00B23256"/>
    <w:rsid w:val="00B23CEB"/>
    <w:rsid w:val="00B24099"/>
    <w:rsid w:val="00B27E9C"/>
    <w:rsid w:val="00B31EFB"/>
    <w:rsid w:val="00B3230D"/>
    <w:rsid w:val="00B32A90"/>
    <w:rsid w:val="00B34BF7"/>
    <w:rsid w:val="00B5324E"/>
    <w:rsid w:val="00B5618A"/>
    <w:rsid w:val="00B646C7"/>
    <w:rsid w:val="00B64C5B"/>
    <w:rsid w:val="00B703C5"/>
    <w:rsid w:val="00B74FF3"/>
    <w:rsid w:val="00B75D25"/>
    <w:rsid w:val="00B774BF"/>
    <w:rsid w:val="00B8323F"/>
    <w:rsid w:val="00B85CFA"/>
    <w:rsid w:val="00B8640F"/>
    <w:rsid w:val="00B939F0"/>
    <w:rsid w:val="00B940F5"/>
    <w:rsid w:val="00BA317F"/>
    <w:rsid w:val="00BA619A"/>
    <w:rsid w:val="00BB0654"/>
    <w:rsid w:val="00BB462D"/>
    <w:rsid w:val="00BB4924"/>
    <w:rsid w:val="00BB6A7E"/>
    <w:rsid w:val="00BC0145"/>
    <w:rsid w:val="00BC1D3F"/>
    <w:rsid w:val="00BC2989"/>
    <w:rsid w:val="00BC2C0D"/>
    <w:rsid w:val="00BD0C98"/>
    <w:rsid w:val="00BD4372"/>
    <w:rsid w:val="00BD621A"/>
    <w:rsid w:val="00BE2180"/>
    <w:rsid w:val="00BE4F76"/>
    <w:rsid w:val="00BE5E86"/>
    <w:rsid w:val="00BE63A0"/>
    <w:rsid w:val="00BE7329"/>
    <w:rsid w:val="00BE7E27"/>
    <w:rsid w:val="00BF1967"/>
    <w:rsid w:val="00BF2E32"/>
    <w:rsid w:val="00BF3ADB"/>
    <w:rsid w:val="00BF480F"/>
    <w:rsid w:val="00BF6517"/>
    <w:rsid w:val="00C00FBE"/>
    <w:rsid w:val="00C0561D"/>
    <w:rsid w:val="00C06121"/>
    <w:rsid w:val="00C06B3B"/>
    <w:rsid w:val="00C11B7C"/>
    <w:rsid w:val="00C176C8"/>
    <w:rsid w:val="00C17956"/>
    <w:rsid w:val="00C220B5"/>
    <w:rsid w:val="00C22A22"/>
    <w:rsid w:val="00C240D6"/>
    <w:rsid w:val="00C2446C"/>
    <w:rsid w:val="00C25109"/>
    <w:rsid w:val="00C25A5A"/>
    <w:rsid w:val="00C2624A"/>
    <w:rsid w:val="00C309A7"/>
    <w:rsid w:val="00C3325B"/>
    <w:rsid w:val="00C3596A"/>
    <w:rsid w:val="00C368EF"/>
    <w:rsid w:val="00C41E1D"/>
    <w:rsid w:val="00C41ED6"/>
    <w:rsid w:val="00C43322"/>
    <w:rsid w:val="00C44F53"/>
    <w:rsid w:val="00C45A66"/>
    <w:rsid w:val="00C46E77"/>
    <w:rsid w:val="00C475FC"/>
    <w:rsid w:val="00C47C5B"/>
    <w:rsid w:val="00C5304D"/>
    <w:rsid w:val="00C619F2"/>
    <w:rsid w:val="00C62E88"/>
    <w:rsid w:val="00C655B8"/>
    <w:rsid w:val="00C66B8F"/>
    <w:rsid w:val="00C67C9A"/>
    <w:rsid w:val="00C75E74"/>
    <w:rsid w:val="00C766E9"/>
    <w:rsid w:val="00C8229F"/>
    <w:rsid w:val="00C83BA9"/>
    <w:rsid w:val="00C85720"/>
    <w:rsid w:val="00C90693"/>
    <w:rsid w:val="00C92115"/>
    <w:rsid w:val="00CA050F"/>
    <w:rsid w:val="00CA0C16"/>
    <w:rsid w:val="00CA5D9B"/>
    <w:rsid w:val="00CA6BDD"/>
    <w:rsid w:val="00CB0C87"/>
    <w:rsid w:val="00CB6894"/>
    <w:rsid w:val="00CB7180"/>
    <w:rsid w:val="00CC1615"/>
    <w:rsid w:val="00CC1E6D"/>
    <w:rsid w:val="00CC30B9"/>
    <w:rsid w:val="00CC35F8"/>
    <w:rsid w:val="00CD0EFF"/>
    <w:rsid w:val="00CD7300"/>
    <w:rsid w:val="00CD77D8"/>
    <w:rsid w:val="00CD7D82"/>
    <w:rsid w:val="00CE1F69"/>
    <w:rsid w:val="00CE1FA2"/>
    <w:rsid w:val="00CE25FB"/>
    <w:rsid w:val="00CE3ED3"/>
    <w:rsid w:val="00CF338A"/>
    <w:rsid w:val="00CF4D6E"/>
    <w:rsid w:val="00D00F54"/>
    <w:rsid w:val="00D055BE"/>
    <w:rsid w:val="00D064BC"/>
    <w:rsid w:val="00D1218C"/>
    <w:rsid w:val="00D12477"/>
    <w:rsid w:val="00D150A8"/>
    <w:rsid w:val="00D16404"/>
    <w:rsid w:val="00D223A7"/>
    <w:rsid w:val="00D2304D"/>
    <w:rsid w:val="00D23632"/>
    <w:rsid w:val="00D24656"/>
    <w:rsid w:val="00D308D8"/>
    <w:rsid w:val="00D309BE"/>
    <w:rsid w:val="00D315D2"/>
    <w:rsid w:val="00D31C10"/>
    <w:rsid w:val="00D321DF"/>
    <w:rsid w:val="00D35C34"/>
    <w:rsid w:val="00D36B22"/>
    <w:rsid w:val="00D40F1B"/>
    <w:rsid w:val="00D416D8"/>
    <w:rsid w:val="00D42C8B"/>
    <w:rsid w:val="00D4305E"/>
    <w:rsid w:val="00D44004"/>
    <w:rsid w:val="00D454B9"/>
    <w:rsid w:val="00D457A1"/>
    <w:rsid w:val="00D46A86"/>
    <w:rsid w:val="00D500DB"/>
    <w:rsid w:val="00D5034C"/>
    <w:rsid w:val="00D52BC8"/>
    <w:rsid w:val="00D55D67"/>
    <w:rsid w:val="00D603F9"/>
    <w:rsid w:val="00D62724"/>
    <w:rsid w:val="00D7144D"/>
    <w:rsid w:val="00D725B6"/>
    <w:rsid w:val="00D80534"/>
    <w:rsid w:val="00D80E4D"/>
    <w:rsid w:val="00D81AC4"/>
    <w:rsid w:val="00D90F34"/>
    <w:rsid w:val="00D91149"/>
    <w:rsid w:val="00D955E2"/>
    <w:rsid w:val="00D97740"/>
    <w:rsid w:val="00DA4BB0"/>
    <w:rsid w:val="00DA55E6"/>
    <w:rsid w:val="00DB15B0"/>
    <w:rsid w:val="00DB1763"/>
    <w:rsid w:val="00DB1A6F"/>
    <w:rsid w:val="00DB3E8A"/>
    <w:rsid w:val="00DB4F0A"/>
    <w:rsid w:val="00DC2FE4"/>
    <w:rsid w:val="00DD0AAF"/>
    <w:rsid w:val="00DD3E7C"/>
    <w:rsid w:val="00DD7E70"/>
    <w:rsid w:val="00DE2D3E"/>
    <w:rsid w:val="00DE6E46"/>
    <w:rsid w:val="00DE7564"/>
    <w:rsid w:val="00DF15DB"/>
    <w:rsid w:val="00E0316B"/>
    <w:rsid w:val="00E04672"/>
    <w:rsid w:val="00E06CEA"/>
    <w:rsid w:val="00E126CA"/>
    <w:rsid w:val="00E2329E"/>
    <w:rsid w:val="00E30891"/>
    <w:rsid w:val="00E35ACF"/>
    <w:rsid w:val="00E35E0E"/>
    <w:rsid w:val="00E3772B"/>
    <w:rsid w:val="00E4048B"/>
    <w:rsid w:val="00E45948"/>
    <w:rsid w:val="00E51BB1"/>
    <w:rsid w:val="00E526C9"/>
    <w:rsid w:val="00E539E4"/>
    <w:rsid w:val="00E6064A"/>
    <w:rsid w:val="00E6070C"/>
    <w:rsid w:val="00E6111A"/>
    <w:rsid w:val="00E6243E"/>
    <w:rsid w:val="00E65FDA"/>
    <w:rsid w:val="00E66407"/>
    <w:rsid w:val="00E7086C"/>
    <w:rsid w:val="00E713CE"/>
    <w:rsid w:val="00E71FA3"/>
    <w:rsid w:val="00E74CDE"/>
    <w:rsid w:val="00E81579"/>
    <w:rsid w:val="00E822A5"/>
    <w:rsid w:val="00E83A65"/>
    <w:rsid w:val="00E85794"/>
    <w:rsid w:val="00E87F86"/>
    <w:rsid w:val="00E92BEE"/>
    <w:rsid w:val="00E95CA7"/>
    <w:rsid w:val="00E973D4"/>
    <w:rsid w:val="00EA0AC0"/>
    <w:rsid w:val="00EA4CE4"/>
    <w:rsid w:val="00EA6BFB"/>
    <w:rsid w:val="00EB05F9"/>
    <w:rsid w:val="00EB5A64"/>
    <w:rsid w:val="00EB6462"/>
    <w:rsid w:val="00EB7810"/>
    <w:rsid w:val="00EC0E05"/>
    <w:rsid w:val="00EC5AF9"/>
    <w:rsid w:val="00EC6BA4"/>
    <w:rsid w:val="00EC6C95"/>
    <w:rsid w:val="00ED0D1D"/>
    <w:rsid w:val="00EE1082"/>
    <w:rsid w:val="00EE4591"/>
    <w:rsid w:val="00EE70C5"/>
    <w:rsid w:val="00F0049C"/>
    <w:rsid w:val="00F0079C"/>
    <w:rsid w:val="00F03DE4"/>
    <w:rsid w:val="00F049DD"/>
    <w:rsid w:val="00F07E62"/>
    <w:rsid w:val="00F10B18"/>
    <w:rsid w:val="00F10B97"/>
    <w:rsid w:val="00F23663"/>
    <w:rsid w:val="00F26C78"/>
    <w:rsid w:val="00F308DD"/>
    <w:rsid w:val="00F32E30"/>
    <w:rsid w:val="00F41802"/>
    <w:rsid w:val="00F4294B"/>
    <w:rsid w:val="00F44B9B"/>
    <w:rsid w:val="00F4662B"/>
    <w:rsid w:val="00F508A2"/>
    <w:rsid w:val="00F550FB"/>
    <w:rsid w:val="00F559F4"/>
    <w:rsid w:val="00F753FD"/>
    <w:rsid w:val="00F83BF0"/>
    <w:rsid w:val="00F84A67"/>
    <w:rsid w:val="00F85AE0"/>
    <w:rsid w:val="00F905AB"/>
    <w:rsid w:val="00FA0465"/>
    <w:rsid w:val="00FB0A58"/>
    <w:rsid w:val="00FB119B"/>
    <w:rsid w:val="00FC0B81"/>
    <w:rsid w:val="00FC30A1"/>
    <w:rsid w:val="00FD2F16"/>
    <w:rsid w:val="00FD30B4"/>
    <w:rsid w:val="00FD59A3"/>
    <w:rsid w:val="00FD7E30"/>
    <w:rsid w:val="00FE5F79"/>
    <w:rsid w:val="00FE7981"/>
    <w:rsid w:val="00FE7D30"/>
    <w:rsid w:val="00FF311D"/>
    <w:rsid w:val="00FF4A83"/>
    <w:rsid w:val="00FF572B"/>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6A74FC"/>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A6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81"/>
    <w:pPr>
      <w:spacing w:after="0" w:line="240" w:lineRule="auto"/>
    </w:pPr>
  </w:style>
  <w:style w:type="paragraph" w:styleId="Header">
    <w:name w:val="header"/>
    <w:basedOn w:val="Normal"/>
    <w:link w:val="HeaderChar"/>
    <w:uiPriority w:val="99"/>
    <w:unhideWhenUsed/>
    <w:rsid w:val="005F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BE"/>
  </w:style>
  <w:style w:type="paragraph" w:styleId="Footer">
    <w:name w:val="footer"/>
    <w:basedOn w:val="Normal"/>
    <w:link w:val="FooterChar"/>
    <w:uiPriority w:val="99"/>
    <w:unhideWhenUsed/>
    <w:rsid w:val="005F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BE"/>
  </w:style>
  <w:style w:type="paragraph" w:styleId="ListParagraph">
    <w:name w:val="List Paragraph"/>
    <w:basedOn w:val="Normal"/>
    <w:uiPriority w:val="34"/>
    <w:qFormat/>
    <w:rsid w:val="00DB1763"/>
    <w:pPr>
      <w:ind w:left="720"/>
      <w:contextualSpacing/>
    </w:pPr>
  </w:style>
  <w:style w:type="paragraph" w:styleId="EndnoteText">
    <w:name w:val="endnote text"/>
    <w:basedOn w:val="Normal"/>
    <w:link w:val="EndnoteTextChar"/>
    <w:uiPriority w:val="99"/>
    <w:semiHidden/>
    <w:unhideWhenUsed/>
    <w:rsid w:val="002B3A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AB9"/>
    <w:rPr>
      <w:sz w:val="20"/>
      <w:szCs w:val="20"/>
    </w:rPr>
  </w:style>
  <w:style w:type="character" w:styleId="EndnoteReference">
    <w:name w:val="endnote reference"/>
    <w:basedOn w:val="DefaultParagraphFont"/>
    <w:uiPriority w:val="99"/>
    <w:semiHidden/>
    <w:unhideWhenUsed/>
    <w:rsid w:val="002B3AB9"/>
    <w:rPr>
      <w:vertAlign w:val="superscript"/>
    </w:rPr>
  </w:style>
  <w:style w:type="character" w:styleId="CommentReference">
    <w:name w:val="annotation reference"/>
    <w:basedOn w:val="DefaultParagraphFont"/>
    <w:uiPriority w:val="99"/>
    <w:semiHidden/>
    <w:unhideWhenUsed/>
    <w:rsid w:val="00787C05"/>
    <w:rPr>
      <w:sz w:val="16"/>
      <w:szCs w:val="16"/>
    </w:rPr>
  </w:style>
  <w:style w:type="paragraph" w:styleId="CommentText">
    <w:name w:val="annotation text"/>
    <w:basedOn w:val="Normal"/>
    <w:link w:val="CommentTextChar"/>
    <w:uiPriority w:val="99"/>
    <w:semiHidden/>
    <w:unhideWhenUsed/>
    <w:rsid w:val="00787C05"/>
    <w:pPr>
      <w:spacing w:line="240" w:lineRule="auto"/>
    </w:pPr>
    <w:rPr>
      <w:sz w:val="20"/>
      <w:szCs w:val="20"/>
    </w:rPr>
  </w:style>
  <w:style w:type="character" w:customStyle="1" w:styleId="CommentTextChar">
    <w:name w:val="Comment Text Char"/>
    <w:basedOn w:val="DefaultParagraphFont"/>
    <w:link w:val="CommentText"/>
    <w:uiPriority w:val="99"/>
    <w:semiHidden/>
    <w:rsid w:val="00787C05"/>
    <w:rPr>
      <w:sz w:val="20"/>
      <w:szCs w:val="20"/>
    </w:rPr>
  </w:style>
  <w:style w:type="paragraph" w:styleId="CommentSubject">
    <w:name w:val="annotation subject"/>
    <w:basedOn w:val="CommentText"/>
    <w:next w:val="CommentText"/>
    <w:link w:val="CommentSubjectChar"/>
    <w:uiPriority w:val="99"/>
    <w:semiHidden/>
    <w:unhideWhenUsed/>
    <w:rsid w:val="00787C05"/>
    <w:rPr>
      <w:b/>
      <w:bCs/>
    </w:rPr>
  </w:style>
  <w:style w:type="character" w:customStyle="1" w:styleId="CommentSubjectChar">
    <w:name w:val="Comment Subject Char"/>
    <w:basedOn w:val="CommentTextChar"/>
    <w:link w:val="CommentSubject"/>
    <w:uiPriority w:val="99"/>
    <w:semiHidden/>
    <w:rsid w:val="00787C05"/>
    <w:rPr>
      <w:b/>
      <w:bCs/>
      <w:sz w:val="20"/>
      <w:szCs w:val="20"/>
    </w:rPr>
  </w:style>
  <w:style w:type="paragraph" w:styleId="BalloonText">
    <w:name w:val="Balloon Text"/>
    <w:basedOn w:val="Normal"/>
    <w:link w:val="BalloonTextChar"/>
    <w:uiPriority w:val="99"/>
    <w:semiHidden/>
    <w:unhideWhenUsed/>
    <w:rsid w:val="00787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C05"/>
    <w:rPr>
      <w:rFonts w:ascii="Segoe UI" w:hAnsi="Segoe UI" w:cs="Segoe UI"/>
      <w:sz w:val="18"/>
      <w:szCs w:val="18"/>
    </w:rPr>
  </w:style>
  <w:style w:type="character" w:styleId="Hyperlink">
    <w:name w:val="Hyperlink"/>
    <w:basedOn w:val="DefaultParagraphFont"/>
    <w:uiPriority w:val="99"/>
    <w:unhideWhenUsed/>
    <w:rsid w:val="00C41ED6"/>
    <w:rPr>
      <w:color w:val="0563C1" w:themeColor="hyperlink"/>
      <w:u w:val="single"/>
    </w:rPr>
  </w:style>
  <w:style w:type="paragraph" w:styleId="FootnoteText">
    <w:name w:val="footnote text"/>
    <w:basedOn w:val="Normal"/>
    <w:link w:val="FootnoteTextChar"/>
    <w:uiPriority w:val="99"/>
    <w:semiHidden/>
    <w:unhideWhenUsed/>
    <w:rsid w:val="00C41E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ED6"/>
    <w:rPr>
      <w:sz w:val="20"/>
      <w:szCs w:val="20"/>
    </w:rPr>
  </w:style>
  <w:style w:type="character" w:styleId="FootnoteReference">
    <w:name w:val="footnote reference"/>
    <w:basedOn w:val="DefaultParagraphFont"/>
    <w:uiPriority w:val="99"/>
    <w:semiHidden/>
    <w:unhideWhenUsed/>
    <w:rsid w:val="00C41ED6"/>
    <w:rPr>
      <w:vertAlign w:val="superscript"/>
    </w:rPr>
  </w:style>
  <w:style w:type="paragraph" w:styleId="Caption">
    <w:name w:val="caption"/>
    <w:basedOn w:val="Normal"/>
    <w:next w:val="Normal"/>
    <w:autoRedefine/>
    <w:uiPriority w:val="35"/>
    <w:unhideWhenUsed/>
    <w:qFormat/>
    <w:rsid w:val="006A74FC"/>
    <w:pPr>
      <w:keepNext/>
      <w:spacing w:after="120" w:line="240" w:lineRule="auto"/>
      <w:jc w:val="center"/>
    </w:pPr>
    <w:rPr>
      <w:rFonts w:ascii="Times New Roman" w:hAnsi="Times New Roman"/>
      <w:b/>
      <w:bCs/>
      <w:szCs w:val="20"/>
    </w:rPr>
  </w:style>
  <w:style w:type="table" w:customStyle="1" w:styleId="GridTable4Accent1">
    <w:name w:val="Grid Table 4 Accent 1"/>
    <w:basedOn w:val="TableNormal"/>
    <w:uiPriority w:val="49"/>
    <w:rsid w:val="00822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F4662B"/>
    <w:rPr>
      <w:color w:val="954F72" w:themeColor="followedHyperlink"/>
      <w:u w:val="single"/>
    </w:rPr>
  </w:style>
  <w:style w:type="paragraph" w:customStyle="1" w:styleId="Default">
    <w:name w:val="Default"/>
    <w:rsid w:val="0088600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ullets">
    <w:name w:val="bullets"/>
    <w:basedOn w:val="Normal"/>
    <w:rsid w:val="007D4840"/>
    <w:pPr>
      <w:numPr>
        <w:numId w:val="3"/>
      </w:numPr>
      <w:spacing w:before="120" w:after="120" w:line="240" w:lineRule="auto"/>
    </w:pPr>
    <w:rPr>
      <w:rFonts w:ascii="Times New Roman" w:eastAsia="Times New Roman" w:hAnsi="Times New Roman" w:cs="Times New Roman"/>
      <w:szCs w:val="20"/>
    </w:rPr>
  </w:style>
  <w:style w:type="paragraph" w:styleId="NormalWeb">
    <w:name w:val="Normal (Web)"/>
    <w:basedOn w:val="Normal"/>
    <w:uiPriority w:val="99"/>
    <w:semiHidden/>
    <w:unhideWhenUsed/>
    <w:rsid w:val="007D484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A6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132">
      <w:bodyDiv w:val="1"/>
      <w:marLeft w:val="0"/>
      <w:marRight w:val="0"/>
      <w:marTop w:val="0"/>
      <w:marBottom w:val="0"/>
      <w:divBdr>
        <w:top w:val="none" w:sz="0" w:space="0" w:color="auto"/>
        <w:left w:val="none" w:sz="0" w:space="0" w:color="auto"/>
        <w:bottom w:val="none" w:sz="0" w:space="0" w:color="auto"/>
        <w:right w:val="none" w:sz="0" w:space="0" w:color="auto"/>
      </w:divBdr>
    </w:div>
    <w:div w:id="300574977">
      <w:bodyDiv w:val="1"/>
      <w:marLeft w:val="0"/>
      <w:marRight w:val="0"/>
      <w:marTop w:val="0"/>
      <w:marBottom w:val="0"/>
      <w:divBdr>
        <w:top w:val="none" w:sz="0" w:space="0" w:color="auto"/>
        <w:left w:val="none" w:sz="0" w:space="0" w:color="auto"/>
        <w:bottom w:val="none" w:sz="0" w:space="0" w:color="auto"/>
        <w:right w:val="none" w:sz="0" w:space="0" w:color="auto"/>
      </w:divBdr>
    </w:div>
    <w:div w:id="1764103055">
      <w:bodyDiv w:val="1"/>
      <w:marLeft w:val="0"/>
      <w:marRight w:val="0"/>
      <w:marTop w:val="0"/>
      <w:marBottom w:val="0"/>
      <w:divBdr>
        <w:top w:val="none" w:sz="0" w:space="0" w:color="auto"/>
        <w:left w:val="none" w:sz="0" w:space="0" w:color="auto"/>
        <w:bottom w:val="none" w:sz="0" w:space="0" w:color="auto"/>
        <w:right w:val="none" w:sz="0" w:space="0" w:color="auto"/>
      </w:divBdr>
    </w:div>
    <w:div w:id="21261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oleObject" Target="embeddings/oleObject26.bin"/><Relationship Id="rId63" Type="http://schemas.openxmlformats.org/officeDocument/2006/relationships/oleObject" Target="embeddings/oleObject34.bin"/><Relationship Id="rId68" Type="http://schemas.openxmlformats.org/officeDocument/2006/relationships/image" Target="media/image22.wmf"/><Relationship Id="rId76" Type="http://schemas.openxmlformats.org/officeDocument/2006/relationships/image" Target="media/image26.wmf"/><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40.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image" Target="media/image21.wmf"/><Relationship Id="rId58" Type="http://schemas.openxmlformats.org/officeDocument/2006/relationships/oleObject" Target="embeddings/oleObject29.bin"/><Relationship Id="rId66" Type="http://schemas.openxmlformats.org/officeDocument/2006/relationships/oleObject" Target="embeddings/oleObject37.bin"/><Relationship Id="rId74" Type="http://schemas.openxmlformats.org/officeDocument/2006/relationships/image" Target="media/image25.wmf"/><Relationship Id="rId79" Type="http://schemas.openxmlformats.org/officeDocument/2006/relationships/oleObject" Target="embeddings/oleObject44.bin"/><Relationship Id="rId5" Type="http://schemas.openxmlformats.org/officeDocument/2006/relationships/settings" Target="settings.xml"/><Relationship Id="rId61" Type="http://schemas.openxmlformats.org/officeDocument/2006/relationships/oleObject" Target="embeddings/oleObject32.bin"/><Relationship Id="rId82"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oleObject" Target="embeddings/oleObject31.bin"/><Relationship Id="rId65" Type="http://schemas.openxmlformats.org/officeDocument/2006/relationships/oleObject" Target="embeddings/oleObject36.bin"/><Relationship Id="rId73" Type="http://schemas.openxmlformats.org/officeDocument/2006/relationships/oleObject" Target="embeddings/oleObject41.bin"/><Relationship Id="rId78" Type="http://schemas.openxmlformats.org/officeDocument/2006/relationships/image" Target="media/image27.wmf"/><Relationship Id="rId81"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7.bin"/><Relationship Id="rId64" Type="http://schemas.openxmlformats.org/officeDocument/2006/relationships/oleObject" Target="embeddings/oleObject35.bin"/><Relationship Id="rId69" Type="http://schemas.openxmlformats.org/officeDocument/2006/relationships/oleObject" Target="embeddings/oleObject39.bin"/><Relationship Id="rId77" Type="http://schemas.openxmlformats.org/officeDocument/2006/relationships/oleObject" Target="embeddings/oleObject43.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24.wmf"/><Relationship Id="rId80"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oleObject" Target="embeddings/oleObject20.bin"/><Relationship Id="rId59" Type="http://schemas.openxmlformats.org/officeDocument/2006/relationships/oleObject" Target="embeddings/oleObject30.bin"/><Relationship Id="rId67" Type="http://schemas.openxmlformats.org/officeDocument/2006/relationships/oleObject" Target="embeddings/oleObject38.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33.bin"/><Relationship Id="rId70" Type="http://schemas.openxmlformats.org/officeDocument/2006/relationships/image" Target="media/image23.wmf"/><Relationship Id="rId75" Type="http://schemas.openxmlformats.org/officeDocument/2006/relationships/oleObject" Target="embeddings/oleObject42.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2491F-CC61-4045-9A1A-580B6B90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62914</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Little</dc:creator>
  <cp:keywords/>
  <dc:description/>
  <cp:lastModifiedBy>Keith</cp:lastModifiedBy>
  <cp:revision>580</cp:revision>
  <cp:lastPrinted>2017-12-22T16:42:00Z</cp:lastPrinted>
  <dcterms:created xsi:type="dcterms:W3CDTF">2016-04-05T14:06:00Z</dcterms:created>
  <dcterms:modified xsi:type="dcterms:W3CDTF">2017-12-26T15:54:00Z</dcterms:modified>
</cp:coreProperties>
</file>