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69" w:rsidRPr="007907C2" w:rsidRDefault="00CE1F69" w:rsidP="00C44F53">
      <w:pPr>
        <w:rPr>
          <w:rFonts w:cstheme="minorHAnsi"/>
          <w:b/>
        </w:rPr>
      </w:pPr>
      <w:r w:rsidRPr="007907C2">
        <w:rPr>
          <w:rFonts w:cstheme="minorHAnsi"/>
          <w:b/>
        </w:rPr>
        <w:t>Three Interacting Chemicals in Porous Media Verification</w:t>
      </w:r>
    </w:p>
    <w:p w:rsidR="00B74FF3" w:rsidRPr="007907C2" w:rsidRDefault="007907C2" w:rsidP="00C44F53">
      <w:pPr>
        <w:rPr>
          <w:rFonts w:eastAsia="Times New Roman" w:cstheme="minorHAnsi"/>
          <w:lang w:eastAsia="x-none"/>
        </w:rPr>
      </w:pPr>
      <w:r>
        <w:rPr>
          <w:rFonts w:cstheme="minorHAnsi"/>
        </w:rPr>
        <w:t>This verification example</w:t>
      </w:r>
      <w:r w:rsidR="001F53C2" w:rsidRPr="007907C2">
        <w:rPr>
          <w:rFonts w:cstheme="minorHAnsi"/>
        </w:rPr>
        <w:t xml:space="preserve"> </w:t>
      </w:r>
      <w:r w:rsidR="00CE1F69" w:rsidRPr="007907C2">
        <w:rPr>
          <w:rFonts w:cstheme="minorHAnsi"/>
        </w:rPr>
        <w:t>demonstrates</w:t>
      </w:r>
      <w:r w:rsidR="00C44F53" w:rsidRPr="007907C2">
        <w:rPr>
          <w:rFonts w:cstheme="minorHAnsi"/>
        </w:rPr>
        <w:t xml:space="preserve"> the multi-</w:t>
      </w:r>
      <w:r w:rsidR="00F559F4" w:rsidRPr="007907C2">
        <w:rPr>
          <w:rFonts w:cstheme="minorHAnsi"/>
        </w:rPr>
        <w:t>SV</w:t>
      </w:r>
      <w:r w:rsidR="00C44F53" w:rsidRPr="007907C2">
        <w:rPr>
          <w:rFonts w:cstheme="minorHAnsi"/>
        </w:rPr>
        <w:t xml:space="preserve"> functionality of GEM </w:t>
      </w:r>
      <w:r w:rsidR="00822B10" w:rsidRPr="007907C2">
        <w:rPr>
          <w:rFonts w:cstheme="minorHAnsi"/>
        </w:rPr>
        <w:t>involving the concentrations of three interacting chemicals</w:t>
      </w:r>
      <w:r w:rsidR="00B74FF3" w:rsidRPr="007907C2">
        <w:rPr>
          <w:rFonts w:cstheme="minorHAnsi"/>
        </w:rPr>
        <w:t xml:space="preserve"> in a porous medium</w:t>
      </w:r>
      <w:r w:rsidR="00C44F53" w:rsidRPr="007907C2">
        <w:rPr>
          <w:rFonts w:cstheme="minorHAnsi"/>
        </w:rPr>
        <w:t xml:space="preserve">.  The example </w:t>
      </w:r>
      <w:r w:rsidR="00D4305E" w:rsidRPr="007907C2">
        <w:rPr>
          <w:rFonts w:eastAsia="Times New Roman" w:cstheme="minorHAnsi"/>
          <w:lang w:val="x-none" w:eastAsia="x-none"/>
        </w:rPr>
        <w:t>utilized the van Genuchten (1985) analytical solution as implemented in a web-based tool by faculty and students at the University of Illinois</w:t>
      </w:r>
      <w:r w:rsidR="00EB5A64" w:rsidRPr="007907C2">
        <w:rPr>
          <w:rFonts w:eastAsia="Times New Roman" w:cstheme="minorHAnsi"/>
          <w:lang w:val="x-none" w:eastAsia="x-none"/>
        </w:rPr>
        <w:t xml:space="preserve"> </w:t>
      </w:r>
      <w:r w:rsidR="00D4305E" w:rsidRPr="007907C2">
        <w:rPr>
          <w:rFonts w:eastAsia="Times New Roman" w:cstheme="minorHAnsi"/>
          <w:lang w:val="x-none" w:eastAsia="x-none"/>
        </w:rPr>
        <w:t>(</w:t>
      </w:r>
      <w:hyperlink r:id="rId9" w:history="1">
        <w:r w:rsidR="00F4662B" w:rsidRPr="007907C2">
          <w:rPr>
            <w:rStyle w:val="Hyperlink"/>
            <w:rFonts w:cstheme="minorHAnsi"/>
            <w:color w:val="auto"/>
          </w:rPr>
          <w:t>http://hydrolab.illinois.edu/gw_applets/</w:t>
        </w:r>
      </w:hyperlink>
      <w:r w:rsidR="00F4662B" w:rsidRPr="007907C2">
        <w:rPr>
          <w:rFonts w:cstheme="minorHAnsi"/>
        </w:rPr>
        <w:t xml:space="preserve"> </w:t>
      </w:r>
      <w:r w:rsidR="00CC30B9" w:rsidRPr="007907C2">
        <w:rPr>
          <w:rFonts w:eastAsia="Times New Roman" w:cstheme="minorHAnsi"/>
          <w:lang w:val="x-none" w:eastAsia="x-none"/>
        </w:rPr>
        <w:t xml:space="preserve">). </w:t>
      </w:r>
      <w:r w:rsidR="005F69B6" w:rsidRPr="007907C2">
        <w:rPr>
          <w:rFonts w:eastAsia="Times New Roman" w:cstheme="minorHAnsi"/>
          <w:lang w:eastAsia="x-none"/>
        </w:rPr>
        <w:t>The</w:t>
      </w:r>
      <w:r w:rsidR="00CC30B9" w:rsidRPr="007907C2">
        <w:rPr>
          <w:rFonts w:eastAsia="Times New Roman" w:cstheme="minorHAnsi"/>
          <w:lang w:val="x-none" w:eastAsia="x-none"/>
        </w:rPr>
        <w:t xml:space="preserve"> </w:t>
      </w:r>
      <w:r w:rsidR="00EB5A64" w:rsidRPr="007907C2">
        <w:rPr>
          <w:rFonts w:eastAsia="Times New Roman" w:cstheme="minorHAnsi"/>
          <w:lang w:eastAsia="x-none"/>
        </w:rPr>
        <w:t>example</w:t>
      </w:r>
      <w:r w:rsidR="00D4305E" w:rsidRPr="007907C2">
        <w:rPr>
          <w:rFonts w:eastAsia="Times New Roman" w:cstheme="minorHAnsi"/>
          <w:lang w:val="x-none" w:eastAsia="x-none"/>
        </w:rPr>
        <w:t xml:space="preserve"> considers </w:t>
      </w:r>
      <w:r w:rsidR="00D4305E" w:rsidRPr="007907C2">
        <w:rPr>
          <w:rFonts w:eastAsia="Times New Roman" w:cstheme="minorHAnsi"/>
          <w:lang w:eastAsia="x-none"/>
        </w:rPr>
        <w:t>ad</w:t>
      </w:r>
      <w:r w:rsidR="00D4305E" w:rsidRPr="007907C2">
        <w:rPr>
          <w:rFonts w:eastAsia="Times New Roman" w:cstheme="minorHAnsi"/>
          <w:lang w:val="x-none" w:eastAsia="x-none"/>
        </w:rPr>
        <w:t>vection and dispersion/diffusion, linear equilibrium sorption, and sequential decay of solutes under constant velocity conditions, a specified constant concentration at the inflow boundary, and initial concentrations of 0 within a semi-infinite domain. Chemical 1, which has a surface boundary condition of 1</w:t>
      </w:r>
      <w:r w:rsidR="00EA4CE4" w:rsidRPr="007907C2">
        <w:rPr>
          <w:rFonts w:eastAsia="Times New Roman" w:cstheme="minorHAnsi"/>
          <w:lang w:eastAsia="x-none"/>
        </w:rPr>
        <w:t xml:space="preserve"> g/m</w:t>
      </w:r>
      <w:r w:rsidR="00EA4CE4" w:rsidRPr="007907C2">
        <w:rPr>
          <w:rFonts w:eastAsia="Times New Roman" w:cstheme="minorHAnsi"/>
          <w:vertAlign w:val="superscript"/>
          <w:lang w:eastAsia="x-none"/>
        </w:rPr>
        <w:t>3</w:t>
      </w:r>
      <w:r w:rsidR="00D4305E" w:rsidRPr="007907C2">
        <w:rPr>
          <w:rFonts w:eastAsia="Times New Roman" w:cstheme="minorHAnsi"/>
          <w:lang w:val="x-none" w:eastAsia="x-none"/>
        </w:rPr>
        <w:t xml:space="preserve">, decays to Chemical 2, which then decays to Chemical 3. Therefore, as Chemical 1 concentrations decrease with depth, </w:t>
      </w:r>
      <w:r w:rsidR="00D4305E" w:rsidRPr="007907C2">
        <w:rPr>
          <w:rFonts w:eastAsia="Times New Roman" w:cstheme="minorHAnsi"/>
          <w:lang w:eastAsia="x-none"/>
        </w:rPr>
        <w:t xml:space="preserve">concentrations of </w:t>
      </w:r>
      <w:r w:rsidR="00D4305E" w:rsidRPr="007907C2">
        <w:rPr>
          <w:rFonts w:eastAsia="Times New Roman" w:cstheme="minorHAnsi"/>
          <w:lang w:val="x-none" w:eastAsia="x-none"/>
        </w:rPr>
        <w:t xml:space="preserve"> Chemicals 2 and 3 </w:t>
      </w:r>
      <w:r w:rsidR="00D4305E" w:rsidRPr="007907C2">
        <w:rPr>
          <w:rFonts w:eastAsia="Times New Roman" w:cstheme="minorHAnsi"/>
          <w:lang w:eastAsia="x-none"/>
        </w:rPr>
        <w:t>increase</w:t>
      </w:r>
      <w:r w:rsidR="00D4305E" w:rsidRPr="007907C2">
        <w:rPr>
          <w:rFonts w:eastAsia="Times New Roman" w:cstheme="minorHAnsi"/>
          <w:lang w:val="x-none" w:eastAsia="x-none"/>
        </w:rPr>
        <w:t xml:space="preserve">, albeit with a lag. </w:t>
      </w:r>
      <w:r w:rsidR="00CC30B9" w:rsidRPr="007907C2">
        <w:rPr>
          <w:rFonts w:eastAsia="Times New Roman" w:cstheme="minorHAnsi"/>
          <w:lang w:eastAsia="x-none"/>
        </w:rPr>
        <w:t xml:space="preserve"> </w:t>
      </w:r>
    </w:p>
    <w:p w:rsidR="00EA4CE4" w:rsidRPr="007907C2" w:rsidRDefault="003142EC" w:rsidP="00C44F53">
      <w:pPr>
        <w:rPr>
          <w:rFonts w:eastAsia="Times New Roman" w:cstheme="minorHAnsi"/>
          <w:lang w:eastAsia="x-none"/>
        </w:rPr>
      </w:pPr>
      <w:r w:rsidRPr="007907C2">
        <w:rPr>
          <w:rFonts w:eastAsia="Times New Roman" w:cstheme="minorHAnsi"/>
          <w:lang w:eastAsia="x-none"/>
        </w:rPr>
        <w:t xml:space="preserve">The first two columns of </w:t>
      </w:r>
      <w:r w:rsidR="00BB4924" w:rsidRPr="007907C2">
        <w:rPr>
          <w:rFonts w:eastAsia="Times New Roman" w:cstheme="minorHAnsi"/>
          <w:lang w:eastAsia="x-none"/>
        </w:rPr>
        <w:t xml:space="preserve">Table 1 give the parameters needed for the analytical solution.  </w:t>
      </w:r>
      <w:r w:rsidRPr="007907C2">
        <w:rPr>
          <w:rFonts w:eastAsia="Times New Roman" w:cstheme="minorHAnsi"/>
          <w:lang w:eastAsia="x-none"/>
        </w:rPr>
        <w:t>The environmental parameters are the pore velocity and diffusion/dispersion coefficient.</w:t>
      </w:r>
      <w:r w:rsidR="00B05A11" w:rsidRPr="007907C2">
        <w:rPr>
          <w:rFonts w:eastAsia="Times New Roman" w:cstheme="minorHAnsi"/>
          <w:lang w:eastAsia="x-none"/>
        </w:rPr>
        <w:t xml:space="preserve">  The </w:t>
      </w:r>
      <w:r w:rsidR="001C1B66" w:rsidRPr="007907C2">
        <w:rPr>
          <w:rFonts w:eastAsia="Times New Roman" w:cstheme="minorHAnsi"/>
          <w:lang w:eastAsia="x-none"/>
        </w:rPr>
        <w:t>chemical-specific</w:t>
      </w:r>
      <w:r w:rsidR="00B05A11" w:rsidRPr="007907C2">
        <w:rPr>
          <w:rFonts w:eastAsia="Times New Roman" w:cstheme="minorHAnsi"/>
          <w:lang w:eastAsia="x-none"/>
        </w:rPr>
        <w:t xml:space="preserve"> parameters needed are the inflow concentration</w:t>
      </w:r>
      <w:r w:rsidR="001C1B66" w:rsidRPr="007907C2">
        <w:rPr>
          <w:rFonts w:eastAsia="Times New Roman" w:cstheme="minorHAnsi"/>
          <w:lang w:eastAsia="x-none"/>
        </w:rPr>
        <w:t>s</w:t>
      </w:r>
      <w:r w:rsidR="00B05A11" w:rsidRPr="007907C2">
        <w:rPr>
          <w:rFonts w:eastAsia="Times New Roman" w:cstheme="minorHAnsi"/>
          <w:lang w:eastAsia="x-none"/>
        </w:rPr>
        <w:t>, the daughter product decay rate</w:t>
      </w:r>
      <w:r w:rsidR="001C1B66" w:rsidRPr="007907C2">
        <w:rPr>
          <w:rFonts w:eastAsia="Times New Roman" w:cstheme="minorHAnsi"/>
          <w:lang w:eastAsia="x-none"/>
        </w:rPr>
        <w:t>s</w:t>
      </w:r>
      <w:r w:rsidR="00B05A11" w:rsidRPr="007907C2">
        <w:rPr>
          <w:rFonts w:eastAsia="Times New Roman" w:cstheme="minorHAnsi"/>
          <w:lang w:eastAsia="x-none"/>
        </w:rPr>
        <w:t>,</w:t>
      </w:r>
      <w:r w:rsidR="006A74FC" w:rsidRPr="007907C2">
        <w:rPr>
          <w:rFonts w:eastAsia="Times New Roman" w:cstheme="minorHAnsi"/>
          <w:lang w:eastAsia="x-none"/>
        </w:rPr>
        <w:t xml:space="preserve"> </w:t>
      </w:r>
      <w:proofErr w:type="gramStart"/>
      <w:r w:rsidR="00B05A11" w:rsidRPr="007907C2">
        <w:rPr>
          <w:rFonts w:eastAsia="Times New Roman" w:cstheme="minorHAnsi"/>
          <w:lang w:eastAsia="x-none"/>
        </w:rPr>
        <w:t>the</w:t>
      </w:r>
      <w:proofErr w:type="gramEnd"/>
      <w:r w:rsidR="00B05A11" w:rsidRPr="007907C2">
        <w:rPr>
          <w:rFonts w:eastAsia="Times New Roman" w:cstheme="minorHAnsi"/>
          <w:lang w:eastAsia="x-none"/>
        </w:rPr>
        <w:t xml:space="preserve"> additional internal decay rate</w:t>
      </w:r>
      <w:r w:rsidR="001C1B66" w:rsidRPr="007907C2">
        <w:rPr>
          <w:rFonts w:eastAsia="Times New Roman" w:cstheme="minorHAnsi"/>
          <w:lang w:eastAsia="x-none"/>
        </w:rPr>
        <w:t xml:space="preserve"> for chemical 3, and the retardation coefficients</w:t>
      </w:r>
      <w:r w:rsidR="00B05A11" w:rsidRPr="007907C2">
        <w:rPr>
          <w:rFonts w:eastAsia="Times New Roman" w:cstheme="minorHAnsi"/>
          <w:lang w:eastAsia="x-none"/>
        </w:rPr>
        <w:t>.</w:t>
      </w:r>
      <w:r w:rsidR="001C1B66" w:rsidRPr="007907C2">
        <w:rPr>
          <w:rFonts w:eastAsia="Times New Roman" w:cstheme="minorHAnsi"/>
          <w:lang w:eastAsia="x-none"/>
        </w:rPr>
        <w:t xml:space="preserve">  The daughter product decay rates convert chemical 1 into chemical 2 and chemical 2 into chemical 3.  The chemical 3 internal decay rate decays chemical 3 without conversion to another chemical. </w:t>
      </w:r>
      <w:r w:rsidR="00F0049C" w:rsidRPr="007907C2">
        <w:rPr>
          <w:rFonts w:eastAsia="Times New Roman" w:cstheme="minorHAnsi"/>
          <w:lang w:eastAsia="x-none"/>
        </w:rPr>
        <w:t xml:space="preserve"> The units on the analytical parameters are arbitrary, but must </w:t>
      </w:r>
      <w:r w:rsidR="000F2810" w:rsidRPr="007907C2">
        <w:rPr>
          <w:rFonts w:eastAsia="Times New Roman" w:cstheme="minorHAnsi"/>
          <w:lang w:eastAsia="x-none"/>
        </w:rPr>
        <w:t>be dimensionally consistent (Valocchi, 2017).</w:t>
      </w:r>
      <w:r w:rsidR="001C1B66" w:rsidRPr="007907C2">
        <w:rPr>
          <w:rFonts w:eastAsia="Times New Roman" w:cstheme="minorHAnsi"/>
          <w:lang w:eastAsia="x-none"/>
        </w:rPr>
        <w:t xml:space="preserve">  </w:t>
      </w:r>
    </w:p>
    <w:p w:rsidR="001C1B66" w:rsidRPr="007907C2" w:rsidRDefault="001C1B66" w:rsidP="00C44F53">
      <w:pPr>
        <w:rPr>
          <w:rFonts w:eastAsia="Times New Roman" w:cstheme="minorHAnsi"/>
          <w:lang w:eastAsia="x-none"/>
        </w:rPr>
      </w:pPr>
      <w:r w:rsidRPr="007907C2">
        <w:rPr>
          <w:rFonts w:eastAsia="Times New Roman" w:cstheme="minorHAnsi"/>
          <w:lang w:eastAsia="x-none"/>
        </w:rPr>
        <w:t>We set up a GEM model with 20</w:t>
      </w:r>
      <w:r w:rsidR="006A74FC" w:rsidRPr="007907C2">
        <w:rPr>
          <w:rFonts w:eastAsia="Times New Roman" w:cstheme="minorHAnsi"/>
          <w:lang w:eastAsia="x-none"/>
        </w:rPr>
        <w:t>2 1-D compartments</w:t>
      </w:r>
      <w:r w:rsidR="000D11B3" w:rsidRPr="007907C2">
        <w:rPr>
          <w:rFonts w:eastAsia="Times New Roman" w:cstheme="minorHAnsi"/>
          <w:lang w:eastAsia="x-none"/>
        </w:rPr>
        <w:t xml:space="preserve"> as shown in Figure </w:t>
      </w:r>
      <w:r w:rsidR="00025FB0" w:rsidRPr="007907C2">
        <w:rPr>
          <w:rFonts w:eastAsia="Times New Roman" w:cstheme="minorHAnsi"/>
          <w:lang w:eastAsia="x-none"/>
        </w:rPr>
        <w:t>1</w:t>
      </w:r>
      <w:r w:rsidR="006A74FC" w:rsidRPr="007907C2">
        <w:rPr>
          <w:rFonts w:eastAsia="Times New Roman" w:cstheme="minorHAnsi"/>
          <w:lang w:eastAsia="x-none"/>
        </w:rPr>
        <w:t xml:space="preserve">.  Compartments 1 and 202 are </w:t>
      </w:r>
      <w:r w:rsidR="00B039CA" w:rsidRPr="007907C2">
        <w:rPr>
          <w:rFonts w:eastAsia="Times New Roman" w:cstheme="minorHAnsi"/>
          <w:lang w:eastAsia="x-none"/>
        </w:rPr>
        <w:t>upper</w:t>
      </w:r>
      <w:r w:rsidR="006A74FC" w:rsidRPr="007907C2">
        <w:rPr>
          <w:rFonts w:eastAsia="Times New Roman" w:cstheme="minorHAnsi"/>
          <w:lang w:eastAsia="x-none"/>
        </w:rPr>
        <w:t xml:space="preserve"> and </w:t>
      </w:r>
      <w:r w:rsidR="00B039CA" w:rsidRPr="007907C2">
        <w:rPr>
          <w:rFonts w:eastAsia="Times New Roman" w:cstheme="minorHAnsi"/>
          <w:lang w:eastAsia="x-none"/>
        </w:rPr>
        <w:t xml:space="preserve">lower </w:t>
      </w:r>
      <w:r w:rsidR="006A74FC" w:rsidRPr="007907C2">
        <w:rPr>
          <w:rFonts w:eastAsia="Times New Roman" w:cstheme="minorHAnsi"/>
          <w:lang w:eastAsia="x-none"/>
        </w:rPr>
        <w:t>boundary conditions, respectively.  Compartments 2 – 201 are the modeled compartments</w:t>
      </w:r>
      <w:r w:rsidR="003C3C61" w:rsidRPr="007907C2">
        <w:rPr>
          <w:rFonts w:eastAsia="Times New Roman" w:cstheme="minorHAnsi"/>
          <w:lang w:eastAsia="x-none"/>
        </w:rPr>
        <w:t xml:space="preserve"> (N=200)</w:t>
      </w:r>
      <w:r w:rsidR="006A74FC" w:rsidRPr="007907C2">
        <w:rPr>
          <w:rFonts w:eastAsia="Times New Roman" w:cstheme="minorHAnsi"/>
          <w:lang w:eastAsia="x-none"/>
        </w:rPr>
        <w:t>.  Each compartment had a surface area of 1 m</w:t>
      </w:r>
      <w:r w:rsidR="006A74FC" w:rsidRPr="007907C2">
        <w:rPr>
          <w:rFonts w:eastAsia="Times New Roman" w:cstheme="minorHAnsi"/>
          <w:vertAlign w:val="superscript"/>
          <w:lang w:eastAsia="x-none"/>
        </w:rPr>
        <w:t>2</w:t>
      </w:r>
      <w:r w:rsidR="006A74FC" w:rsidRPr="007907C2">
        <w:rPr>
          <w:rFonts w:eastAsia="Times New Roman" w:cstheme="minorHAnsi"/>
          <w:lang w:eastAsia="x-none"/>
        </w:rPr>
        <w:t xml:space="preserve"> and a depth of 1m, for a total of 200 m depth.  </w:t>
      </w:r>
      <w:r w:rsidR="0017241E" w:rsidRPr="007907C2">
        <w:rPr>
          <w:rFonts w:eastAsia="Times New Roman" w:cstheme="minorHAnsi"/>
          <w:lang w:eastAsia="x-none"/>
        </w:rPr>
        <w:t xml:space="preserve">Fixed, constant, </w:t>
      </w:r>
      <w:r w:rsidR="00B039CA" w:rsidRPr="007907C2">
        <w:rPr>
          <w:rFonts w:eastAsia="Times New Roman" w:cstheme="minorHAnsi"/>
          <w:lang w:eastAsia="x-none"/>
        </w:rPr>
        <w:t>upper</w:t>
      </w:r>
      <w:r w:rsidR="0017241E" w:rsidRPr="007907C2">
        <w:rPr>
          <w:rFonts w:eastAsia="Times New Roman" w:cstheme="minorHAnsi"/>
          <w:lang w:eastAsia="x-none"/>
        </w:rPr>
        <w:t xml:space="preserve"> boundary conditions were specified in accordance with the inflow concentrations for each chemical given in Table 5.1.  </w:t>
      </w:r>
      <w:r w:rsidR="00B039CA" w:rsidRPr="007907C2">
        <w:rPr>
          <w:rFonts w:eastAsia="Times New Roman" w:cstheme="minorHAnsi"/>
          <w:lang w:eastAsia="x-none"/>
        </w:rPr>
        <w:t xml:space="preserve">Lower </w:t>
      </w:r>
      <w:r w:rsidR="0017241E" w:rsidRPr="007907C2">
        <w:rPr>
          <w:rFonts w:eastAsia="Times New Roman" w:cstheme="minorHAnsi"/>
          <w:lang w:eastAsia="x-none"/>
        </w:rPr>
        <w:t>boundary conditions were fixed, constant values of 0 g/m</w:t>
      </w:r>
      <w:r w:rsidR="0017241E" w:rsidRPr="007907C2">
        <w:rPr>
          <w:rFonts w:eastAsia="Times New Roman" w:cstheme="minorHAnsi"/>
          <w:vertAlign w:val="superscript"/>
          <w:lang w:eastAsia="x-none"/>
        </w:rPr>
        <w:t>3</w:t>
      </w:r>
      <w:r w:rsidR="0017241E" w:rsidRPr="007907C2">
        <w:rPr>
          <w:rFonts w:eastAsia="Times New Roman" w:cstheme="minorHAnsi"/>
          <w:lang w:eastAsia="x-none"/>
        </w:rPr>
        <w:t>.</w:t>
      </w:r>
    </w:p>
    <w:p w:rsidR="000D11B3" w:rsidRPr="007907C2" w:rsidRDefault="000D11B3" w:rsidP="00C44F53">
      <w:pPr>
        <w:rPr>
          <w:rFonts w:eastAsia="Times New Roman" w:cstheme="minorHAnsi"/>
          <w:lang w:eastAsia="x-none"/>
        </w:rPr>
      </w:pPr>
      <w:r w:rsidRPr="007907C2">
        <w:rPr>
          <w:rFonts w:eastAsia="Times New Roman" w:cstheme="minorHAnsi"/>
          <w:noProof/>
        </w:rPr>
        <w:drawing>
          <wp:inline distT="0" distB="0" distL="0" distR="0" wp14:anchorId="214191E1" wp14:editId="6B861836">
            <wp:extent cx="6211464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654" cy="724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1B3" w:rsidRPr="007907C2" w:rsidRDefault="000D11B3" w:rsidP="000D11B3">
      <w:pPr>
        <w:pStyle w:val="Caption"/>
        <w:rPr>
          <w:rFonts w:asciiTheme="minorHAnsi" w:eastAsia="Times New Roman" w:hAnsiTheme="minorHAnsi" w:cstheme="minorHAnsi"/>
          <w:strike/>
          <w:lang w:eastAsia="x-none"/>
        </w:rPr>
      </w:pPr>
      <w:proofErr w:type="gramStart"/>
      <w:r w:rsidRPr="007907C2">
        <w:rPr>
          <w:rFonts w:asciiTheme="minorHAnsi" w:hAnsiTheme="minorHAnsi" w:cstheme="minorHAnsi"/>
        </w:rPr>
        <w:t xml:space="preserve">Figure </w:t>
      </w:r>
      <w:r w:rsidR="00025FB0" w:rsidRPr="007907C2">
        <w:rPr>
          <w:rFonts w:asciiTheme="minorHAnsi" w:hAnsiTheme="minorHAnsi" w:cstheme="minorHAnsi"/>
        </w:rPr>
        <w:t>1</w:t>
      </w:r>
      <w:r w:rsidRPr="007907C2">
        <w:rPr>
          <w:rFonts w:asciiTheme="minorHAnsi" w:hAnsiTheme="minorHAnsi" w:cstheme="minorHAnsi"/>
        </w:rPr>
        <w:t>.</w:t>
      </w:r>
      <w:proofErr w:type="gramEnd"/>
      <w:r w:rsidRPr="007907C2">
        <w:rPr>
          <w:rFonts w:asciiTheme="minorHAnsi" w:hAnsiTheme="minorHAnsi" w:cstheme="minorHAnsi"/>
        </w:rPr>
        <w:t xml:space="preserve"> </w:t>
      </w:r>
      <w:r w:rsidRPr="007907C2">
        <w:rPr>
          <w:rFonts w:asciiTheme="minorHAnsi" w:hAnsiTheme="minorHAnsi" w:cstheme="minorHAnsi"/>
          <w:szCs w:val="22"/>
        </w:rPr>
        <w:t xml:space="preserve"> Compartment Structure for Van Genuchten Verification Example </w:t>
      </w:r>
    </w:p>
    <w:p w:rsidR="000D11B3" w:rsidRPr="007907C2" w:rsidRDefault="001B1B51" w:rsidP="00C44F53">
      <w:pPr>
        <w:rPr>
          <w:rFonts w:eastAsia="Times New Roman" w:cstheme="minorHAnsi"/>
          <w:lang w:eastAsia="x-none"/>
        </w:rPr>
      </w:pPr>
      <w:r w:rsidRPr="007907C2">
        <w:rPr>
          <w:rFonts w:eastAsia="Times New Roman" w:cstheme="minorHAnsi"/>
          <w:lang w:eastAsia="x-none"/>
        </w:rPr>
        <w:t xml:space="preserve">The GEM parameters are also given in Table </w:t>
      </w:r>
      <w:r w:rsidR="00637384" w:rsidRPr="007907C2">
        <w:rPr>
          <w:rFonts w:eastAsia="Times New Roman" w:cstheme="minorHAnsi"/>
          <w:lang w:eastAsia="x-none"/>
        </w:rPr>
        <w:t>1</w:t>
      </w:r>
      <w:r w:rsidRPr="007907C2">
        <w:rPr>
          <w:rFonts w:eastAsia="Times New Roman" w:cstheme="minorHAnsi"/>
          <w:lang w:eastAsia="x-none"/>
        </w:rPr>
        <w:t>.  We elected to interpret the analytical solution parameters in default GEM units (m</w:t>
      </w:r>
      <w:proofErr w:type="gramStart"/>
      <w:r w:rsidRPr="007907C2">
        <w:rPr>
          <w:rFonts w:eastAsia="Times New Roman" w:cstheme="minorHAnsi"/>
          <w:lang w:eastAsia="x-none"/>
        </w:rPr>
        <w:t>,g,day</w:t>
      </w:r>
      <w:proofErr w:type="gramEnd"/>
      <w:r w:rsidRPr="007907C2">
        <w:rPr>
          <w:rFonts w:eastAsia="Times New Roman" w:cstheme="minorHAnsi"/>
          <w:lang w:eastAsia="x-none"/>
        </w:rPr>
        <w:t xml:space="preserve">) and the corresponding values are given in the table.  The GEM’s flow rate, water content, bulk density, and </w:t>
      </w:r>
      <w:proofErr w:type="gramStart"/>
      <w:r w:rsidRPr="007907C2">
        <w:rPr>
          <w:rFonts w:eastAsia="Times New Roman" w:cstheme="minorHAnsi"/>
          <w:lang w:eastAsia="x-none"/>
        </w:rPr>
        <w:t>Kd</w:t>
      </w:r>
      <w:proofErr w:type="gramEnd"/>
      <w:r w:rsidRPr="007907C2">
        <w:rPr>
          <w:rFonts w:eastAsia="Times New Roman" w:cstheme="minorHAnsi"/>
          <w:lang w:eastAsia="x-none"/>
        </w:rPr>
        <w:t xml:space="preserve"> parameters were “free” in the sense that they are not inputs to the analytical solution.  However, </w:t>
      </w:r>
      <w:r w:rsidR="00B039CA" w:rsidRPr="007907C2">
        <w:rPr>
          <w:rFonts w:eastAsia="Times New Roman" w:cstheme="minorHAnsi"/>
          <w:lang w:eastAsia="x-none"/>
        </w:rPr>
        <w:t>in combination, they</w:t>
      </w:r>
      <w:r w:rsidRPr="007907C2">
        <w:rPr>
          <w:rFonts w:eastAsia="Times New Roman" w:cstheme="minorHAnsi"/>
          <w:lang w:eastAsia="x-none"/>
        </w:rPr>
        <w:t xml:space="preserve"> must return the 1.0 </w:t>
      </w:r>
      <w:r w:rsidR="003C3C61" w:rsidRPr="007907C2">
        <w:rPr>
          <w:rFonts w:eastAsia="Times New Roman" w:cstheme="minorHAnsi"/>
          <w:lang w:eastAsia="x-none"/>
        </w:rPr>
        <w:t xml:space="preserve">m/day </w:t>
      </w:r>
      <w:proofErr w:type="gramStart"/>
      <w:r w:rsidRPr="007907C2">
        <w:rPr>
          <w:rFonts w:eastAsia="Times New Roman" w:cstheme="minorHAnsi"/>
          <w:lang w:eastAsia="x-none"/>
        </w:rPr>
        <w:t>pore</w:t>
      </w:r>
      <w:proofErr w:type="gramEnd"/>
      <w:r w:rsidRPr="007907C2">
        <w:rPr>
          <w:rFonts w:eastAsia="Times New Roman" w:cstheme="minorHAnsi"/>
          <w:lang w:eastAsia="x-none"/>
        </w:rPr>
        <w:t xml:space="preserve"> velocity as well as the retardation coefficient input</w:t>
      </w:r>
      <w:r w:rsidR="00B039CA" w:rsidRPr="007907C2">
        <w:rPr>
          <w:rFonts w:eastAsia="Times New Roman" w:cstheme="minorHAnsi"/>
          <w:lang w:eastAsia="x-none"/>
        </w:rPr>
        <w:t>s</w:t>
      </w:r>
      <w:r w:rsidRPr="007907C2">
        <w:rPr>
          <w:rFonts w:eastAsia="Times New Roman" w:cstheme="minorHAnsi"/>
          <w:lang w:eastAsia="x-none"/>
        </w:rPr>
        <w:t xml:space="preserve"> to the analytical solution.  Accordingly, we arbitrarily assigned the water content and bulk density values, and calculated the flow rate to yield 1.0 m/day pore velocity.  Similarly, </w:t>
      </w:r>
      <w:proofErr w:type="gramStart"/>
      <w:r w:rsidRPr="007907C2">
        <w:rPr>
          <w:rFonts w:eastAsia="Times New Roman" w:cstheme="minorHAnsi"/>
          <w:lang w:eastAsia="x-none"/>
        </w:rPr>
        <w:t>Kd</w:t>
      </w:r>
      <w:proofErr w:type="gramEnd"/>
      <w:r w:rsidRPr="007907C2">
        <w:rPr>
          <w:rFonts w:eastAsia="Times New Roman" w:cstheme="minorHAnsi"/>
          <w:lang w:eastAsia="x-none"/>
        </w:rPr>
        <w:t xml:space="preserve"> was calculated to yield the examples</w:t>
      </w:r>
      <w:r w:rsidR="00B039CA" w:rsidRPr="007907C2">
        <w:rPr>
          <w:rFonts w:eastAsia="Times New Roman" w:cstheme="minorHAnsi"/>
          <w:lang w:eastAsia="x-none"/>
        </w:rPr>
        <w:t>’</w:t>
      </w:r>
      <w:r w:rsidRPr="007907C2">
        <w:rPr>
          <w:rFonts w:eastAsia="Times New Roman" w:cstheme="minorHAnsi"/>
          <w:lang w:eastAsia="x-none"/>
        </w:rPr>
        <w:t xml:space="preserve"> retardation coefficients. </w:t>
      </w:r>
    </w:p>
    <w:p w:rsidR="00EC0E05" w:rsidRPr="007907C2" w:rsidRDefault="00EC0E05" w:rsidP="006A74FC">
      <w:pPr>
        <w:pStyle w:val="Caption"/>
        <w:rPr>
          <w:rFonts w:asciiTheme="minorHAnsi" w:hAnsiTheme="minorHAnsi" w:cstheme="minorHAnsi"/>
        </w:rPr>
      </w:pPr>
      <w:proofErr w:type="gramStart"/>
      <w:r w:rsidRPr="007907C2">
        <w:rPr>
          <w:rFonts w:asciiTheme="minorHAnsi" w:hAnsiTheme="minorHAnsi" w:cstheme="minorHAnsi"/>
        </w:rPr>
        <w:t xml:space="preserve">Table </w:t>
      </w:r>
      <w:r w:rsidR="00637384" w:rsidRPr="007907C2">
        <w:rPr>
          <w:rFonts w:asciiTheme="minorHAnsi" w:hAnsiTheme="minorHAnsi" w:cstheme="minorHAnsi"/>
        </w:rPr>
        <w:t>1</w:t>
      </w:r>
      <w:r w:rsidR="003C3C61" w:rsidRPr="007907C2">
        <w:rPr>
          <w:rFonts w:asciiTheme="minorHAnsi" w:hAnsiTheme="minorHAnsi" w:cstheme="minorHAnsi"/>
        </w:rPr>
        <w:t>.</w:t>
      </w:r>
      <w:proofErr w:type="gramEnd"/>
      <w:r w:rsidRPr="007907C2">
        <w:rPr>
          <w:rFonts w:asciiTheme="minorHAnsi" w:hAnsiTheme="minorHAnsi" w:cstheme="minorHAnsi"/>
        </w:rPr>
        <w:t xml:space="preserve"> Input </w:t>
      </w:r>
      <w:r w:rsidR="001C1B66" w:rsidRPr="007907C2">
        <w:rPr>
          <w:rFonts w:asciiTheme="minorHAnsi" w:hAnsiTheme="minorHAnsi" w:cstheme="minorHAnsi"/>
        </w:rPr>
        <w:t>Parameters for Van Genuchten Verification Example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1350"/>
        <w:gridCol w:w="3330"/>
        <w:gridCol w:w="1525"/>
      </w:tblGrid>
      <w:tr w:rsidR="007907C2" w:rsidRPr="007907C2" w:rsidTr="005B7F78">
        <w:trPr>
          <w:jc w:val="center"/>
        </w:trPr>
        <w:tc>
          <w:tcPr>
            <w:tcW w:w="3145" w:type="dxa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907C2">
              <w:rPr>
                <w:rFonts w:cstheme="minorHAnsi"/>
                <w:b/>
                <w:bCs/>
              </w:rPr>
              <w:t>Applet Parameters</w:t>
            </w:r>
          </w:p>
        </w:tc>
        <w:tc>
          <w:tcPr>
            <w:tcW w:w="1350" w:type="dxa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907C2">
              <w:rPr>
                <w:rFonts w:cstheme="minorHAnsi"/>
                <w:b/>
                <w:bCs/>
              </w:rPr>
              <w:t>Value</w:t>
            </w:r>
          </w:p>
        </w:tc>
        <w:tc>
          <w:tcPr>
            <w:tcW w:w="3330" w:type="dxa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907C2">
              <w:rPr>
                <w:rFonts w:cstheme="minorHAnsi"/>
                <w:b/>
                <w:bCs/>
              </w:rPr>
              <w:t>GEM Parameters</w:t>
            </w:r>
          </w:p>
        </w:tc>
        <w:tc>
          <w:tcPr>
            <w:tcW w:w="1525" w:type="dxa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907C2">
              <w:rPr>
                <w:rFonts w:cstheme="minorHAnsi"/>
                <w:b/>
                <w:bCs/>
              </w:rPr>
              <w:t>Value</w:t>
            </w:r>
          </w:p>
        </w:tc>
      </w:tr>
      <w:tr w:rsidR="007907C2" w:rsidRPr="007907C2" w:rsidTr="005B7F78">
        <w:tblPrEx>
          <w:tblBorders>
            <w:top w:val="none" w:sz="0" w:space="0" w:color="auto"/>
            <w:bottom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B4924" w:rsidRPr="007907C2" w:rsidRDefault="00BB4924" w:rsidP="00BB4924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 xml:space="preserve">Pore Velocity </w:t>
            </w:r>
          </w:p>
        </w:tc>
        <w:tc>
          <w:tcPr>
            <w:tcW w:w="1350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1</w:t>
            </w:r>
            <w:r w:rsidR="004D5B33" w:rsidRPr="007907C2">
              <w:rPr>
                <w:rFonts w:cstheme="minorHAnsi"/>
              </w:rPr>
              <w:t xml:space="preserve"> m/day</w:t>
            </w:r>
          </w:p>
        </w:tc>
        <w:tc>
          <w:tcPr>
            <w:tcW w:w="3330" w:type="dxa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907C2" w:rsidRPr="007907C2" w:rsidTr="005B7F78">
        <w:tblPrEx>
          <w:tblBorders>
            <w:top w:val="none" w:sz="0" w:space="0" w:color="auto"/>
            <w:bottom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Dispersion Coefficient</w:t>
            </w:r>
          </w:p>
        </w:tc>
        <w:tc>
          <w:tcPr>
            <w:tcW w:w="1350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0.18</w:t>
            </w:r>
            <w:r w:rsidR="004D5B33" w:rsidRPr="007907C2">
              <w:rPr>
                <w:rFonts w:cstheme="minorHAnsi"/>
              </w:rPr>
              <w:t xml:space="preserve"> m</w:t>
            </w:r>
            <w:r w:rsidR="004D5B33" w:rsidRPr="007907C2">
              <w:rPr>
                <w:rFonts w:cstheme="minorHAnsi"/>
                <w:vertAlign w:val="superscript"/>
              </w:rPr>
              <w:t>2</w:t>
            </w:r>
            <w:r w:rsidR="004D5B33" w:rsidRPr="007907C2">
              <w:rPr>
                <w:rFonts w:cstheme="minorHAnsi"/>
              </w:rPr>
              <w:t>/day</w:t>
            </w:r>
          </w:p>
        </w:tc>
        <w:tc>
          <w:tcPr>
            <w:tcW w:w="3330" w:type="dxa"/>
          </w:tcPr>
          <w:p w:rsidR="00BB4924" w:rsidRPr="007907C2" w:rsidRDefault="00B05A11" w:rsidP="005B7F78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Dispersion Coefficient</w:t>
            </w:r>
            <w:r w:rsidR="005B7F78" w:rsidRPr="007907C2">
              <w:rPr>
                <w:rFonts w:cstheme="minorHAnsi"/>
              </w:rPr>
              <w:t xml:space="preserve"> </w:t>
            </w:r>
          </w:p>
        </w:tc>
        <w:tc>
          <w:tcPr>
            <w:tcW w:w="1525" w:type="dxa"/>
          </w:tcPr>
          <w:p w:rsidR="00BB4924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0.18 m</w:t>
            </w:r>
            <w:r w:rsidRPr="007907C2">
              <w:rPr>
                <w:rFonts w:cstheme="minorHAnsi"/>
                <w:vertAlign w:val="superscript"/>
              </w:rPr>
              <w:t>2</w:t>
            </w:r>
            <w:r w:rsidRPr="007907C2">
              <w:rPr>
                <w:rFonts w:cstheme="minorHAnsi"/>
              </w:rPr>
              <w:t>/day</w:t>
            </w:r>
          </w:p>
        </w:tc>
      </w:tr>
      <w:tr w:rsidR="007907C2" w:rsidRPr="007907C2" w:rsidTr="005B7F78">
        <w:tblPrEx>
          <w:tblBorders>
            <w:top w:val="none" w:sz="0" w:space="0" w:color="auto"/>
            <w:bottom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:rsidR="00BB4924" w:rsidRPr="007907C2" w:rsidRDefault="005B7F78" w:rsidP="00EC0E05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 xml:space="preserve">Advective </w:t>
            </w:r>
            <w:r w:rsidR="00BB4924" w:rsidRPr="007907C2">
              <w:rPr>
                <w:rFonts w:cstheme="minorHAnsi"/>
              </w:rPr>
              <w:t xml:space="preserve">Flow </w:t>
            </w:r>
            <w:r w:rsidRPr="007907C2">
              <w:rPr>
                <w:rFonts w:cstheme="minorHAnsi"/>
              </w:rPr>
              <w:t>(Q)</w:t>
            </w:r>
          </w:p>
        </w:tc>
        <w:tc>
          <w:tcPr>
            <w:tcW w:w="1525" w:type="dxa"/>
          </w:tcPr>
          <w:p w:rsidR="00BB4924" w:rsidRPr="007907C2" w:rsidRDefault="00B05A11" w:rsidP="00EC0E05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0.5 m</w:t>
            </w:r>
            <w:r w:rsidRPr="007907C2">
              <w:rPr>
                <w:rFonts w:cstheme="minorHAnsi"/>
                <w:vertAlign w:val="superscript"/>
              </w:rPr>
              <w:t>3</w:t>
            </w:r>
            <w:r w:rsidRPr="007907C2">
              <w:rPr>
                <w:rFonts w:cstheme="minorHAnsi"/>
              </w:rPr>
              <w:t>/day</w:t>
            </w:r>
          </w:p>
        </w:tc>
      </w:tr>
      <w:tr w:rsidR="007907C2" w:rsidRPr="007907C2" w:rsidTr="005B7F78">
        <w:tblPrEx>
          <w:tblBorders>
            <w:top w:val="none" w:sz="0" w:space="0" w:color="auto"/>
            <w:bottom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Bulk Density (Bd)</w:t>
            </w:r>
          </w:p>
        </w:tc>
        <w:tc>
          <w:tcPr>
            <w:tcW w:w="1525" w:type="dxa"/>
          </w:tcPr>
          <w:p w:rsidR="00BB4924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1.0E06 g/m</w:t>
            </w:r>
            <w:r w:rsidRPr="007907C2">
              <w:rPr>
                <w:rFonts w:cstheme="minorHAnsi"/>
                <w:vertAlign w:val="superscript"/>
              </w:rPr>
              <w:t>3</w:t>
            </w:r>
          </w:p>
        </w:tc>
      </w:tr>
      <w:tr w:rsidR="007907C2" w:rsidRPr="007907C2" w:rsidTr="005B7F78">
        <w:tblPrEx>
          <w:tblBorders>
            <w:top w:val="none" w:sz="0" w:space="0" w:color="auto"/>
            <w:bottom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:rsidR="00BB4924" w:rsidRPr="007907C2" w:rsidRDefault="00BB4924" w:rsidP="00EC0E05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:rsidR="00BB4924" w:rsidRPr="007907C2" w:rsidRDefault="00BB4924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Water Content (</w:t>
            </w:r>
            <w:r w:rsidR="00B05A11" w:rsidRPr="007907C2">
              <w:rPr>
                <w:rFonts w:cstheme="minorHAnsi"/>
              </w:rPr>
              <w:t>θ</w:t>
            </w:r>
            <w:r w:rsidRPr="007907C2">
              <w:rPr>
                <w:rFonts w:cstheme="minorHAnsi"/>
              </w:rPr>
              <w:t>)</w:t>
            </w:r>
          </w:p>
        </w:tc>
        <w:tc>
          <w:tcPr>
            <w:tcW w:w="1525" w:type="dxa"/>
          </w:tcPr>
          <w:p w:rsidR="00BB4924" w:rsidRPr="007907C2" w:rsidRDefault="00B05A11" w:rsidP="00EC0E05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0.5</w:t>
            </w:r>
          </w:p>
        </w:tc>
      </w:tr>
      <w:tr w:rsidR="007907C2" w:rsidRPr="007907C2" w:rsidTr="0057643D">
        <w:trPr>
          <w:jc w:val="center"/>
        </w:trPr>
        <w:tc>
          <w:tcPr>
            <w:tcW w:w="9350" w:type="dxa"/>
            <w:gridSpan w:val="4"/>
            <w:vAlign w:val="center"/>
          </w:tcPr>
          <w:p w:rsidR="00E92BEE" w:rsidRPr="007907C2" w:rsidRDefault="00E92BEE" w:rsidP="00BB4924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  <w:b/>
              </w:rPr>
              <w:t>Chemical 1 Parameters</w:t>
            </w:r>
          </w:p>
        </w:tc>
      </w:tr>
      <w:tr w:rsidR="007907C2" w:rsidRPr="007907C2" w:rsidTr="005B7F78">
        <w:trPr>
          <w:jc w:val="center"/>
        </w:trPr>
        <w:tc>
          <w:tcPr>
            <w:tcW w:w="3145" w:type="dxa"/>
            <w:vAlign w:val="center"/>
          </w:tcPr>
          <w:p w:rsidR="00BB4924" w:rsidRPr="007907C2" w:rsidRDefault="00BB4924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 xml:space="preserve">Inflow </w:t>
            </w:r>
            <w:r w:rsidR="00B05A11" w:rsidRPr="007907C2">
              <w:rPr>
                <w:rFonts w:cstheme="minorHAnsi"/>
              </w:rPr>
              <w:t>C</w:t>
            </w:r>
            <w:r w:rsidRPr="007907C2">
              <w:rPr>
                <w:rFonts w:cstheme="minorHAnsi"/>
              </w:rPr>
              <w:t>oncentration</w:t>
            </w:r>
          </w:p>
        </w:tc>
        <w:tc>
          <w:tcPr>
            <w:tcW w:w="1350" w:type="dxa"/>
            <w:vAlign w:val="center"/>
          </w:tcPr>
          <w:p w:rsidR="00BB4924" w:rsidRPr="007907C2" w:rsidRDefault="00BB4924" w:rsidP="00BB4924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1</w:t>
            </w:r>
            <w:r w:rsidR="001C1B66" w:rsidRPr="007907C2">
              <w:rPr>
                <w:rFonts w:cstheme="minorHAnsi"/>
              </w:rPr>
              <w:t>.0</w:t>
            </w:r>
            <w:r w:rsidR="004D5B33" w:rsidRPr="007907C2">
              <w:rPr>
                <w:rFonts w:cstheme="minorHAnsi"/>
              </w:rPr>
              <w:t xml:space="preserve"> g/m</w:t>
            </w:r>
            <w:r w:rsidR="004D5B33" w:rsidRPr="007907C2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3330" w:type="dxa"/>
          </w:tcPr>
          <w:p w:rsidR="00BB4924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Inflow Concentration</w:t>
            </w:r>
          </w:p>
        </w:tc>
        <w:tc>
          <w:tcPr>
            <w:tcW w:w="1525" w:type="dxa"/>
          </w:tcPr>
          <w:p w:rsidR="00BB4924" w:rsidRPr="007907C2" w:rsidRDefault="00BB4924" w:rsidP="00BB4924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1</w:t>
            </w:r>
            <w:r w:rsidR="001C1B66" w:rsidRPr="007907C2">
              <w:rPr>
                <w:rFonts w:cstheme="minorHAnsi"/>
              </w:rPr>
              <w:t>.0</w:t>
            </w:r>
            <w:r w:rsidRPr="007907C2">
              <w:rPr>
                <w:rFonts w:cstheme="minorHAnsi"/>
              </w:rPr>
              <w:t xml:space="preserve"> g/m</w:t>
            </w:r>
            <w:r w:rsidRPr="007907C2">
              <w:rPr>
                <w:rFonts w:cstheme="minorHAnsi"/>
                <w:vertAlign w:val="superscript"/>
              </w:rPr>
              <w:t>3</w:t>
            </w:r>
          </w:p>
        </w:tc>
      </w:tr>
      <w:tr w:rsidR="007907C2" w:rsidRPr="007907C2" w:rsidTr="005B7F78">
        <w:trPr>
          <w:jc w:val="center"/>
        </w:trPr>
        <w:tc>
          <w:tcPr>
            <w:tcW w:w="3145" w:type="dxa"/>
            <w:vAlign w:val="center"/>
          </w:tcPr>
          <w:p w:rsidR="00B05A11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Daughter Product Decay Rate</w:t>
            </w:r>
            <w:r w:rsidR="008913A3" w:rsidRPr="007907C2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1350" w:type="dxa"/>
            <w:vAlign w:val="center"/>
          </w:tcPr>
          <w:p w:rsidR="00B05A11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0.1</w:t>
            </w:r>
            <w:r w:rsidR="004D5B33" w:rsidRPr="007907C2">
              <w:rPr>
                <w:rFonts w:cstheme="minorHAnsi"/>
              </w:rPr>
              <w:t>/day</w:t>
            </w:r>
          </w:p>
        </w:tc>
        <w:tc>
          <w:tcPr>
            <w:tcW w:w="3330" w:type="dxa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Daughter Product Decay Rate</w:t>
            </w:r>
          </w:p>
        </w:tc>
        <w:tc>
          <w:tcPr>
            <w:tcW w:w="1525" w:type="dxa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0.1/day</w:t>
            </w:r>
          </w:p>
        </w:tc>
      </w:tr>
      <w:tr w:rsidR="007907C2" w:rsidRPr="007907C2" w:rsidTr="005B7F78">
        <w:trPr>
          <w:jc w:val="center"/>
        </w:trPr>
        <w:tc>
          <w:tcPr>
            <w:tcW w:w="3145" w:type="dxa"/>
            <w:vAlign w:val="center"/>
          </w:tcPr>
          <w:p w:rsidR="00B05A11" w:rsidRPr="007907C2" w:rsidRDefault="00B05A11" w:rsidP="001C1B66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 xml:space="preserve">Retardation </w:t>
            </w:r>
            <w:r w:rsidR="001C1B66" w:rsidRPr="007907C2">
              <w:rPr>
                <w:rFonts w:cstheme="minorHAnsi"/>
              </w:rPr>
              <w:t>C</w:t>
            </w:r>
            <w:r w:rsidRPr="007907C2">
              <w:rPr>
                <w:rFonts w:cstheme="minorHAnsi"/>
              </w:rPr>
              <w:t>oefficient (1+Bd*</w:t>
            </w:r>
            <w:proofErr w:type="spellStart"/>
            <w:r w:rsidRPr="007907C2">
              <w:rPr>
                <w:rFonts w:cstheme="minorHAnsi"/>
              </w:rPr>
              <w:t>Kd</w:t>
            </w:r>
            <w:proofErr w:type="spellEnd"/>
            <w:r w:rsidRPr="007907C2">
              <w:rPr>
                <w:rFonts w:cstheme="minorHAnsi"/>
              </w:rPr>
              <w:t>/θ)</w:t>
            </w:r>
          </w:p>
        </w:tc>
        <w:tc>
          <w:tcPr>
            <w:tcW w:w="1350" w:type="dxa"/>
            <w:vAlign w:val="center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2</w:t>
            </w:r>
          </w:p>
        </w:tc>
        <w:tc>
          <w:tcPr>
            <w:tcW w:w="3330" w:type="dxa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Sorption Partition Coefficient (Kd)</w:t>
            </w:r>
          </w:p>
        </w:tc>
        <w:tc>
          <w:tcPr>
            <w:tcW w:w="1525" w:type="dxa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0.5E-06 m</w:t>
            </w:r>
            <w:r w:rsidRPr="007907C2">
              <w:rPr>
                <w:rFonts w:cstheme="minorHAnsi"/>
                <w:vertAlign w:val="superscript"/>
              </w:rPr>
              <w:t>3</w:t>
            </w:r>
            <w:r w:rsidRPr="007907C2">
              <w:rPr>
                <w:rFonts w:cstheme="minorHAnsi"/>
              </w:rPr>
              <w:t>/g</w:t>
            </w:r>
          </w:p>
        </w:tc>
      </w:tr>
      <w:tr w:rsidR="007907C2" w:rsidRPr="007907C2" w:rsidTr="0057643D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350" w:type="dxa"/>
            <w:gridSpan w:val="4"/>
            <w:vAlign w:val="center"/>
          </w:tcPr>
          <w:p w:rsidR="00E92BEE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  <w:b/>
              </w:rPr>
              <w:t>Chemical 2 Parameters</w:t>
            </w:r>
          </w:p>
        </w:tc>
      </w:tr>
      <w:tr w:rsidR="007907C2" w:rsidRPr="007907C2" w:rsidTr="005B7F7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Inflow Concentration</w:t>
            </w:r>
          </w:p>
        </w:tc>
        <w:tc>
          <w:tcPr>
            <w:tcW w:w="1350" w:type="dxa"/>
            <w:vAlign w:val="center"/>
          </w:tcPr>
          <w:p w:rsidR="00B05A11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</w:t>
            </w:r>
            <w:r w:rsidR="004D5B33" w:rsidRPr="007907C2">
              <w:rPr>
                <w:rFonts w:cstheme="minorHAnsi"/>
              </w:rPr>
              <w:t xml:space="preserve"> g/m</w:t>
            </w:r>
            <w:r w:rsidR="004D5B33" w:rsidRPr="007907C2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3330" w:type="dxa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Inflow Concentration</w:t>
            </w:r>
          </w:p>
        </w:tc>
        <w:tc>
          <w:tcPr>
            <w:tcW w:w="1525" w:type="dxa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</w:t>
            </w:r>
            <w:r w:rsidR="00E92BEE" w:rsidRPr="007907C2">
              <w:rPr>
                <w:rFonts w:cstheme="minorHAnsi"/>
              </w:rPr>
              <w:t xml:space="preserve"> g/m</w:t>
            </w:r>
            <w:r w:rsidR="00E92BEE" w:rsidRPr="007907C2">
              <w:rPr>
                <w:rFonts w:cstheme="minorHAnsi"/>
                <w:vertAlign w:val="superscript"/>
              </w:rPr>
              <w:t>3</w:t>
            </w:r>
          </w:p>
        </w:tc>
      </w:tr>
      <w:tr w:rsidR="007907C2" w:rsidRPr="007907C2" w:rsidTr="005B7F7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Daughter Product Decay Rate</w:t>
            </w:r>
          </w:p>
        </w:tc>
        <w:tc>
          <w:tcPr>
            <w:tcW w:w="1350" w:type="dxa"/>
            <w:vAlign w:val="center"/>
          </w:tcPr>
          <w:p w:rsidR="00B05A11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</w:t>
            </w:r>
            <w:r w:rsidR="00E92BEE" w:rsidRPr="007907C2">
              <w:rPr>
                <w:rFonts w:cstheme="minorHAnsi"/>
              </w:rPr>
              <w:t>0</w:t>
            </w:r>
            <w:r w:rsidRPr="007907C2">
              <w:rPr>
                <w:rFonts w:cstheme="minorHAnsi"/>
              </w:rPr>
              <w:t>5</w:t>
            </w:r>
            <w:r w:rsidR="004D5B33" w:rsidRPr="007907C2">
              <w:rPr>
                <w:rFonts w:cstheme="minorHAnsi"/>
              </w:rPr>
              <w:t>/day</w:t>
            </w:r>
          </w:p>
        </w:tc>
        <w:tc>
          <w:tcPr>
            <w:tcW w:w="3330" w:type="dxa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Daughter Product Decay Rate</w:t>
            </w:r>
          </w:p>
        </w:tc>
        <w:tc>
          <w:tcPr>
            <w:tcW w:w="1525" w:type="dxa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0.05/day</w:t>
            </w:r>
          </w:p>
        </w:tc>
      </w:tr>
      <w:tr w:rsidR="007907C2" w:rsidRPr="007907C2" w:rsidTr="005B7F7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05A11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Retardation coefficient (1+Bd*</w:t>
            </w:r>
            <w:proofErr w:type="spellStart"/>
            <w:r w:rsidRPr="007907C2">
              <w:rPr>
                <w:rFonts w:cstheme="minorHAnsi"/>
              </w:rPr>
              <w:t>Kd</w:t>
            </w:r>
            <w:proofErr w:type="spellEnd"/>
            <w:r w:rsidRPr="007907C2">
              <w:rPr>
                <w:rFonts w:cstheme="minorHAnsi"/>
              </w:rPr>
              <w:t>/θ)</w:t>
            </w:r>
          </w:p>
        </w:tc>
        <w:tc>
          <w:tcPr>
            <w:tcW w:w="1350" w:type="dxa"/>
            <w:vAlign w:val="center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1.5</w:t>
            </w:r>
          </w:p>
        </w:tc>
        <w:tc>
          <w:tcPr>
            <w:tcW w:w="3330" w:type="dxa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Sorption Partition Coefficient (Kd)</w:t>
            </w:r>
          </w:p>
        </w:tc>
        <w:tc>
          <w:tcPr>
            <w:tcW w:w="1525" w:type="dxa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2.5E-07 m</w:t>
            </w:r>
            <w:r w:rsidRPr="007907C2">
              <w:rPr>
                <w:rFonts w:cstheme="minorHAnsi"/>
                <w:vertAlign w:val="superscript"/>
              </w:rPr>
              <w:t>3</w:t>
            </w:r>
            <w:r w:rsidRPr="007907C2">
              <w:rPr>
                <w:rFonts w:cstheme="minorHAnsi"/>
              </w:rPr>
              <w:t>/g</w:t>
            </w:r>
          </w:p>
        </w:tc>
      </w:tr>
      <w:tr w:rsidR="007907C2" w:rsidRPr="007907C2" w:rsidTr="0057643D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350" w:type="dxa"/>
            <w:gridSpan w:val="4"/>
            <w:vAlign w:val="center"/>
          </w:tcPr>
          <w:p w:rsidR="00E92BEE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  <w:b/>
              </w:rPr>
              <w:t>Chemical 3 Parameters</w:t>
            </w:r>
          </w:p>
        </w:tc>
      </w:tr>
      <w:tr w:rsidR="007907C2" w:rsidRPr="007907C2" w:rsidTr="005B7F7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Inflow Concentration</w:t>
            </w:r>
          </w:p>
        </w:tc>
        <w:tc>
          <w:tcPr>
            <w:tcW w:w="1350" w:type="dxa"/>
            <w:vAlign w:val="center"/>
          </w:tcPr>
          <w:p w:rsidR="00B05A11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</w:t>
            </w:r>
            <w:r w:rsidR="004D5B33" w:rsidRPr="007907C2">
              <w:rPr>
                <w:rFonts w:cstheme="minorHAnsi"/>
              </w:rPr>
              <w:t xml:space="preserve"> g/m</w:t>
            </w:r>
            <w:r w:rsidR="004D5B33" w:rsidRPr="007907C2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3330" w:type="dxa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Inflow Concentration</w:t>
            </w:r>
          </w:p>
        </w:tc>
        <w:tc>
          <w:tcPr>
            <w:tcW w:w="1525" w:type="dxa"/>
          </w:tcPr>
          <w:p w:rsidR="00B05A11" w:rsidRPr="007907C2" w:rsidRDefault="001C1B66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</w:t>
            </w:r>
            <w:r w:rsidR="00E92BEE" w:rsidRPr="007907C2">
              <w:rPr>
                <w:rFonts w:cstheme="minorHAnsi"/>
              </w:rPr>
              <w:t xml:space="preserve"> g/m</w:t>
            </w:r>
            <w:r w:rsidR="00E92BEE" w:rsidRPr="007907C2">
              <w:rPr>
                <w:rFonts w:cstheme="minorHAnsi"/>
                <w:vertAlign w:val="superscript"/>
              </w:rPr>
              <w:t>3</w:t>
            </w:r>
          </w:p>
        </w:tc>
      </w:tr>
      <w:tr w:rsidR="007907C2" w:rsidRPr="007907C2" w:rsidTr="005B7F7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Decay Rate</w:t>
            </w:r>
          </w:p>
        </w:tc>
        <w:tc>
          <w:tcPr>
            <w:tcW w:w="1350" w:type="dxa"/>
            <w:vAlign w:val="center"/>
          </w:tcPr>
          <w:p w:rsidR="00B05A11" w:rsidRPr="007907C2" w:rsidRDefault="00B05A11" w:rsidP="00E92BEE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0.0</w:t>
            </w:r>
            <w:r w:rsidR="00E92BEE" w:rsidRPr="007907C2">
              <w:rPr>
                <w:rFonts w:cstheme="minorHAnsi"/>
              </w:rPr>
              <w:t>1</w:t>
            </w:r>
            <w:r w:rsidR="004D5B33" w:rsidRPr="007907C2">
              <w:rPr>
                <w:rFonts w:cstheme="minorHAnsi"/>
              </w:rPr>
              <w:t>/day</w:t>
            </w:r>
          </w:p>
        </w:tc>
        <w:tc>
          <w:tcPr>
            <w:tcW w:w="3330" w:type="dxa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Decay Rate</w:t>
            </w:r>
          </w:p>
        </w:tc>
        <w:tc>
          <w:tcPr>
            <w:tcW w:w="1525" w:type="dxa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0.01/day</w:t>
            </w:r>
          </w:p>
        </w:tc>
      </w:tr>
      <w:tr w:rsidR="00B05A11" w:rsidRPr="007907C2" w:rsidTr="005B7F7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145" w:type="dxa"/>
            <w:vAlign w:val="center"/>
          </w:tcPr>
          <w:p w:rsidR="00B05A11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Retardation coefficient (1+Bd*</w:t>
            </w:r>
            <w:proofErr w:type="spellStart"/>
            <w:r w:rsidRPr="007907C2">
              <w:rPr>
                <w:rFonts w:cstheme="minorHAnsi"/>
              </w:rPr>
              <w:t>Kd</w:t>
            </w:r>
            <w:proofErr w:type="spellEnd"/>
            <w:r w:rsidRPr="007907C2">
              <w:rPr>
                <w:rFonts w:cstheme="minorHAnsi"/>
              </w:rPr>
              <w:t>/θ)</w:t>
            </w:r>
          </w:p>
        </w:tc>
        <w:tc>
          <w:tcPr>
            <w:tcW w:w="1350" w:type="dxa"/>
            <w:vAlign w:val="center"/>
          </w:tcPr>
          <w:p w:rsidR="00B05A11" w:rsidRPr="007907C2" w:rsidRDefault="00B05A11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1</w:t>
            </w:r>
            <w:r w:rsidR="00E92BEE" w:rsidRPr="007907C2">
              <w:rPr>
                <w:rFonts w:cstheme="minorHAnsi"/>
              </w:rPr>
              <w:t>.0</w:t>
            </w:r>
          </w:p>
        </w:tc>
        <w:tc>
          <w:tcPr>
            <w:tcW w:w="3330" w:type="dxa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Sorption Partition Coefficient (Kd)</w:t>
            </w:r>
          </w:p>
        </w:tc>
        <w:tc>
          <w:tcPr>
            <w:tcW w:w="1525" w:type="dxa"/>
          </w:tcPr>
          <w:p w:rsidR="00B05A11" w:rsidRPr="007907C2" w:rsidRDefault="00E92BEE" w:rsidP="00B05A11">
            <w:pPr>
              <w:spacing w:after="0"/>
              <w:jc w:val="center"/>
              <w:rPr>
                <w:rFonts w:cstheme="minorHAnsi"/>
              </w:rPr>
            </w:pPr>
            <w:r w:rsidRPr="007907C2">
              <w:rPr>
                <w:rFonts w:cstheme="minorHAnsi"/>
              </w:rPr>
              <w:t>0.0 m</w:t>
            </w:r>
            <w:r w:rsidRPr="007907C2">
              <w:rPr>
                <w:rFonts w:cstheme="minorHAnsi"/>
                <w:vertAlign w:val="superscript"/>
              </w:rPr>
              <w:t>3</w:t>
            </w:r>
            <w:r w:rsidRPr="007907C2">
              <w:rPr>
                <w:rFonts w:cstheme="minorHAnsi"/>
              </w:rPr>
              <w:t>/g</w:t>
            </w:r>
          </w:p>
        </w:tc>
      </w:tr>
    </w:tbl>
    <w:p w:rsidR="00EC0E05" w:rsidRPr="007907C2" w:rsidRDefault="00EC0E05" w:rsidP="00C44F53">
      <w:pPr>
        <w:rPr>
          <w:rFonts w:eastAsia="Times New Roman" w:cstheme="minorHAnsi"/>
          <w:lang w:eastAsia="x-none"/>
        </w:rPr>
      </w:pPr>
    </w:p>
    <w:p w:rsidR="00EC0E05" w:rsidRPr="007907C2" w:rsidRDefault="0017241E" w:rsidP="00C44F53">
      <w:pPr>
        <w:rPr>
          <w:rFonts w:eastAsia="Times New Roman" w:cstheme="minorHAnsi"/>
          <w:lang w:eastAsia="x-none"/>
        </w:rPr>
      </w:pPr>
      <w:r w:rsidRPr="007907C2">
        <w:rPr>
          <w:rFonts w:eastAsia="Times New Roman" w:cstheme="minorHAnsi"/>
          <w:lang w:eastAsia="x-none"/>
        </w:rPr>
        <w:t xml:space="preserve">We ran the GEM </w:t>
      </w:r>
      <w:r w:rsidR="004A1D1B" w:rsidRPr="007907C2">
        <w:rPr>
          <w:rFonts w:eastAsia="Times New Roman" w:cstheme="minorHAnsi"/>
          <w:lang w:eastAsia="x-none"/>
        </w:rPr>
        <w:t xml:space="preserve">for this example </w:t>
      </w:r>
      <w:r w:rsidRPr="007907C2">
        <w:rPr>
          <w:rFonts w:eastAsia="Times New Roman" w:cstheme="minorHAnsi"/>
          <w:lang w:eastAsia="x-none"/>
        </w:rPr>
        <w:t xml:space="preserve">using the BTBS option </w:t>
      </w:r>
      <w:r w:rsidR="004A1D1B" w:rsidRPr="007907C2">
        <w:rPr>
          <w:rFonts w:eastAsia="Times New Roman" w:cstheme="minorHAnsi"/>
          <w:lang w:eastAsia="x-none"/>
        </w:rPr>
        <w:t xml:space="preserve">for 200 days at a 10-day time step.  The vertical profile at 200 days for each chemical is shown in Figure </w:t>
      </w:r>
      <w:r w:rsidR="00025FB0" w:rsidRPr="007907C2">
        <w:rPr>
          <w:rFonts w:eastAsia="Times New Roman" w:cstheme="minorHAnsi"/>
          <w:lang w:eastAsia="x-none"/>
        </w:rPr>
        <w:t>2</w:t>
      </w:r>
      <w:r w:rsidR="004A1D1B" w:rsidRPr="007907C2">
        <w:rPr>
          <w:rFonts w:eastAsia="Times New Roman" w:cstheme="minorHAnsi"/>
          <w:lang w:eastAsia="x-none"/>
        </w:rPr>
        <w:t xml:space="preserve"> along with the analytical model results.  </w:t>
      </w:r>
      <w:r w:rsidR="00B039CA" w:rsidRPr="007907C2">
        <w:rPr>
          <w:rFonts w:eastAsia="Times New Roman" w:cstheme="minorHAnsi"/>
          <w:lang w:eastAsia="x-none"/>
        </w:rPr>
        <w:t>Despite our using a solution option (BTBS) that involves both temporal and spatial numerical dispersion, and a relatively large time step</w:t>
      </w:r>
      <w:r w:rsidR="004A1D1B" w:rsidRPr="007907C2">
        <w:rPr>
          <w:rFonts w:eastAsia="Times New Roman" w:cstheme="minorHAnsi"/>
          <w:lang w:eastAsia="x-none"/>
        </w:rPr>
        <w:t xml:space="preserve">, there is generally excellent agreement between the two, with the exception of chemical 3 below 100 m.   </w:t>
      </w:r>
      <w:r w:rsidR="00430D0B" w:rsidRPr="007907C2">
        <w:rPr>
          <w:rFonts w:eastAsia="Times New Roman" w:cstheme="minorHAnsi"/>
          <w:lang w:eastAsia="x-none"/>
        </w:rPr>
        <w:t xml:space="preserve">For chemical 3 below 100 m, we are unsure why there is some, albeit minor, deviation.  We </w:t>
      </w:r>
      <w:r w:rsidR="002C67B4" w:rsidRPr="007907C2">
        <w:rPr>
          <w:rFonts w:eastAsia="Times New Roman" w:cstheme="minorHAnsi"/>
          <w:lang w:eastAsia="x-none"/>
        </w:rPr>
        <w:t>tried</w:t>
      </w:r>
      <w:r w:rsidR="00430D0B" w:rsidRPr="007907C2">
        <w:rPr>
          <w:rFonts w:eastAsia="Times New Roman" w:cstheme="minorHAnsi"/>
          <w:lang w:eastAsia="x-none"/>
        </w:rPr>
        <w:t xml:space="preserve"> several lower boundary conditions including a fixed boundary of 0 g/m</w:t>
      </w:r>
      <w:r w:rsidR="00430D0B" w:rsidRPr="007907C2">
        <w:rPr>
          <w:rFonts w:eastAsia="Times New Roman" w:cstheme="minorHAnsi"/>
          <w:vertAlign w:val="superscript"/>
          <w:lang w:eastAsia="x-none"/>
        </w:rPr>
        <w:t>3</w:t>
      </w:r>
      <w:r w:rsidR="00430D0B" w:rsidRPr="007907C2">
        <w:rPr>
          <w:rFonts w:eastAsia="Times New Roman" w:cstheme="minorHAnsi"/>
          <w:lang w:eastAsia="x-none"/>
        </w:rPr>
        <w:t>, the exact analytical solution (0.01 g/m</w:t>
      </w:r>
      <w:r w:rsidR="00430D0B" w:rsidRPr="007907C2">
        <w:rPr>
          <w:rFonts w:eastAsia="Times New Roman" w:cstheme="minorHAnsi"/>
          <w:vertAlign w:val="superscript"/>
          <w:lang w:eastAsia="x-none"/>
        </w:rPr>
        <w:t>3</w:t>
      </w:r>
      <w:r w:rsidR="00430D0B" w:rsidRPr="007907C2">
        <w:rPr>
          <w:rFonts w:eastAsia="Times New Roman" w:cstheme="minorHAnsi"/>
          <w:lang w:eastAsia="x-none"/>
        </w:rPr>
        <w:t xml:space="preserve">), and a linear gradient-type boundary condition.  GEM results were essentially the same for all of these tests suggesting that the lower boundary condition is not driving the solution.  </w:t>
      </w:r>
      <w:r w:rsidR="00D7144D" w:rsidRPr="007907C2">
        <w:rPr>
          <w:rFonts w:eastAsia="Times New Roman" w:cstheme="minorHAnsi"/>
          <w:lang w:eastAsia="x-none"/>
        </w:rPr>
        <w:t>The r</w:t>
      </w:r>
      <w:r w:rsidR="00430D0B" w:rsidRPr="007907C2">
        <w:rPr>
          <w:rFonts w:eastAsia="Times New Roman" w:cstheme="minorHAnsi"/>
          <w:lang w:eastAsia="x-none"/>
        </w:rPr>
        <w:t xml:space="preserve">oot mean square error (RMSE) </w:t>
      </w:r>
      <w:r w:rsidR="00D7144D" w:rsidRPr="007907C2">
        <w:rPr>
          <w:rFonts w:eastAsia="Times New Roman" w:cstheme="minorHAnsi"/>
          <w:lang w:eastAsia="x-none"/>
        </w:rPr>
        <w:t>between simulated and analytical results is</w:t>
      </w:r>
      <w:r w:rsidR="00430D0B" w:rsidRPr="007907C2">
        <w:rPr>
          <w:rFonts w:eastAsia="Times New Roman" w:cstheme="minorHAnsi"/>
          <w:lang w:eastAsia="x-none"/>
        </w:rPr>
        <w:t xml:space="preserve"> 0.01g/m</w:t>
      </w:r>
      <w:r w:rsidR="00430D0B" w:rsidRPr="007907C2">
        <w:rPr>
          <w:rFonts w:eastAsia="Times New Roman" w:cstheme="minorHAnsi"/>
          <w:vertAlign w:val="superscript"/>
          <w:lang w:eastAsia="x-none"/>
        </w:rPr>
        <w:t>3</w:t>
      </w:r>
      <w:r w:rsidR="00430D0B" w:rsidRPr="007907C2">
        <w:rPr>
          <w:rFonts w:eastAsia="Times New Roman" w:cstheme="minorHAnsi"/>
          <w:lang w:eastAsia="x-none"/>
        </w:rPr>
        <w:t>.</w:t>
      </w:r>
    </w:p>
    <w:p w:rsidR="004A1D1B" w:rsidRPr="007907C2" w:rsidRDefault="00295E8F" w:rsidP="004A1D1B">
      <w:pPr>
        <w:jc w:val="center"/>
        <w:rPr>
          <w:rFonts w:eastAsia="Times New Roman" w:cstheme="minorHAnsi"/>
          <w:lang w:eastAsia="x-none"/>
        </w:rPr>
      </w:pPr>
      <w:r w:rsidRPr="007907C2">
        <w:rPr>
          <w:rFonts w:eastAsia="Times New Roman" w:cstheme="minorHAnsi"/>
          <w:noProof/>
        </w:rPr>
        <w:lastRenderedPageBreak/>
        <w:drawing>
          <wp:inline distT="0" distB="0" distL="0" distR="0" wp14:anchorId="125BC7A8" wp14:editId="66072B0E">
            <wp:extent cx="5657850" cy="3651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5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D1B" w:rsidRPr="007907C2" w:rsidRDefault="004A1D1B" w:rsidP="004A1D1B">
      <w:pPr>
        <w:jc w:val="center"/>
        <w:rPr>
          <w:rFonts w:eastAsia="Times New Roman" w:cstheme="minorHAnsi"/>
          <w:b/>
          <w:lang w:eastAsia="x-none"/>
        </w:rPr>
      </w:pPr>
      <w:proofErr w:type="gramStart"/>
      <w:r w:rsidRPr="007907C2">
        <w:rPr>
          <w:rFonts w:eastAsia="Times New Roman" w:cstheme="minorHAnsi"/>
          <w:b/>
          <w:lang w:eastAsia="x-none"/>
        </w:rPr>
        <w:t xml:space="preserve">Figure </w:t>
      </w:r>
      <w:r w:rsidR="00025FB0" w:rsidRPr="007907C2">
        <w:rPr>
          <w:rFonts w:eastAsia="Times New Roman" w:cstheme="minorHAnsi"/>
          <w:b/>
          <w:lang w:eastAsia="x-none"/>
        </w:rPr>
        <w:t>2</w:t>
      </w:r>
      <w:r w:rsidRPr="007907C2">
        <w:rPr>
          <w:rFonts w:eastAsia="Times New Roman" w:cstheme="minorHAnsi"/>
          <w:b/>
          <w:lang w:eastAsia="x-none"/>
        </w:rPr>
        <w:t>.</w:t>
      </w:r>
      <w:proofErr w:type="gramEnd"/>
      <w:r w:rsidRPr="007907C2">
        <w:rPr>
          <w:rFonts w:eastAsia="Times New Roman" w:cstheme="minorHAnsi"/>
          <w:b/>
          <w:lang w:eastAsia="x-none"/>
        </w:rPr>
        <w:t xml:space="preserve">  GEM versus Analytical Solution for Van Genuchten Example</w:t>
      </w:r>
    </w:p>
    <w:p w:rsidR="00830CBE" w:rsidRPr="007907C2" w:rsidRDefault="00830CBE" w:rsidP="00830CBE">
      <w:pPr>
        <w:rPr>
          <w:rFonts w:eastAsia="Times New Roman" w:cstheme="minorHAnsi"/>
          <w:b/>
          <w:szCs w:val="24"/>
        </w:rPr>
      </w:pPr>
      <w:r w:rsidRPr="007907C2">
        <w:rPr>
          <w:rFonts w:eastAsia="Times New Roman" w:cstheme="minorHAnsi"/>
          <w:b/>
          <w:szCs w:val="24"/>
        </w:rPr>
        <w:t>References</w:t>
      </w:r>
    </w:p>
    <w:p w:rsidR="00830CBE" w:rsidRPr="007907C2" w:rsidRDefault="00830CBE" w:rsidP="00830CBE">
      <w:pPr>
        <w:pStyle w:val="Default"/>
        <w:spacing w:after="12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  <w:proofErr w:type="gramStart"/>
      <w:r w:rsidRPr="007907C2">
        <w:rPr>
          <w:rFonts w:asciiTheme="minorHAnsi" w:eastAsia="Times New Roman" w:hAnsiTheme="minorHAnsi" w:cstheme="minorHAnsi"/>
          <w:color w:val="auto"/>
          <w:sz w:val="21"/>
          <w:szCs w:val="21"/>
        </w:rPr>
        <w:t>Vallochi, A., 2017, University of Illinois Hydrolab, personal communication.</w:t>
      </w:r>
      <w:proofErr w:type="gramEnd"/>
    </w:p>
    <w:p w:rsidR="00830CBE" w:rsidRPr="007907C2" w:rsidRDefault="00830CBE" w:rsidP="00830CBE">
      <w:pPr>
        <w:rPr>
          <w:rFonts w:cstheme="minorHAnsi"/>
        </w:rPr>
      </w:pPr>
      <w:r w:rsidRPr="007907C2">
        <w:rPr>
          <w:rFonts w:cstheme="minorHAnsi"/>
        </w:rPr>
        <w:t xml:space="preserve">Van Genuchten, M.Th. 1985. </w:t>
      </w:r>
      <w:r w:rsidRPr="007907C2">
        <w:rPr>
          <w:rFonts w:cstheme="minorHAnsi"/>
          <w:i/>
          <w:u w:val="single"/>
        </w:rPr>
        <w:t>Convective-dispersive transport of solutes involved in sequential first-order decay reactions.</w:t>
      </w:r>
      <w:r w:rsidRPr="007907C2">
        <w:rPr>
          <w:rFonts w:cstheme="minorHAnsi"/>
        </w:rPr>
        <w:t xml:space="preserve"> Computers &amp; Geosciences, vol. 11, issue 2, pp. 129-147</w:t>
      </w:r>
    </w:p>
    <w:p w:rsidR="005A096B" w:rsidRDefault="005A096B">
      <w:pPr>
        <w:rPr>
          <w:b/>
          <w:i/>
        </w:rPr>
      </w:pPr>
    </w:p>
    <w:p w:rsidR="00A62A8D" w:rsidRPr="005A096B" w:rsidRDefault="00A62A8D" w:rsidP="005A096B">
      <w:pPr>
        <w:autoSpaceDE w:val="0"/>
        <w:autoSpaceDN w:val="0"/>
        <w:adjustRightInd w:val="0"/>
        <w:spacing w:after="0" w:line="240" w:lineRule="auto"/>
        <w:rPr>
          <w:rFonts w:cs="AdvOT863180fb"/>
        </w:rPr>
      </w:pPr>
      <w:r w:rsidRPr="005A096B">
        <w:rPr>
          <w:i/>
        </w:rPr>
        <w:br w:type="page"/>
      </w:r>
    </w:p>
    <w:p w:rsidR="00C41ED6" w:rsidRDefault="00C41ED6" w:rsidP="00935F3D">
      <w:pPr>
        <w:rPr>
          <w:rFonts w:eastAsia="Times New Roman"/>
          <w:szCs w:val="24"/>
        </w:rPr>
      </w:pPr>
    </w:p>
    <w:sectPr w:rsidR="00C41ED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48C" w:rsidRDefault="009D748C" w:rsidP="005F02BE">
      <w:pPr>
        <w:spacing w:after="0" w:line="240" w:lineRule="auto"/>
      </w:pPr>
      <w:r>
        <w:separator/>
      </w:r>
    </w:p>
  </w:endnote>
  <w:endnote w:type="continuationSeparator" w:id="0">
    <w:p w:rsidR="009D748C" w:rsidRDefault="009D748C" w:rsidP="005F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863180f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459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6C9" w:rsidRDefault="00E526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7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26C9" w:rsidRDefault="00E52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48C" w:rsidRDefault="009D748C" w:rsidP="005F02BE">
      <w:pPr>
        <w:spacing w:after="0" w:line="240" w:lineRule="auto"/>
      </w:pPr>
      <w:r>
        <w:separator/>
      </w:r>
    </w:p>
  </w:footnote>
  <w:footnote w:type="continuationSeparator" w:id="0">
    <w:p w:rsidR="009D748C" w:rsidRDefault="009D748C" w:rsidP="005F02BE">
      <w:pPr>
        <w:spacing w:after="0" w:line="240" w:lineRule="auto"/>
      </w:pPr>
      <w:r>
        <w:continuationSeparator/>
      </w:r>
    </w:p>
  </w:footnote>
  <w:footnote w:id="1">
    <w:p w:rsidR="00E526C9" w:rsidRPr="007907C2" w:rsidRDefault="00E526C9" w:rsidP="001325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907C2">
        <w:t xml:space="preserve">The GEM accommodates two types of source/sink terms for linear problems.  </w:t>
      </w:r>
      <w:proofErr w:type="gramStart"/>
      <w:r w:rsidRPr="007907C2">
        <w:t>First-order reaction rate constants (/day) for chemical reactions affecting either a single or multiple chemicals (such as our current example) are entered into the “VolumeSrcSnks.csv” file.</w:t>
      </w:r>
      <w:proofErr w:type="gramEnd"/>
      <w:r w:rsidRPr="007907C2">
        <w:t xml:space="preserve">  Analogously, transfer velocities (m/day) for cross-compartment mass transfers across an </w:t>
      </w:r>
      <w:proofErr w:type="spellStart"/>
      <w:r w:rsidRPr="007907C2">
        <w:t>intercompartmental</w:t>
      </w:r>
      <w:proofErr w:type="spellEnd"/>
      <w:r w:rsidRPr="007907C2">
        <w:t xml:space="preserve"> area (e.g., volatilization or settling) are entered into the “AreaSrcSnks.csv” file.    Each rate constant or velocity is entered into a separate record giving the relevant SV(s) and compartment number(s).  If a process is a sink for one compartment or chemical and a source for another, e.g. settling from compartment i to j or chemical reaction between chemicals i and j, two records are required, one for the sink term and another for the source.  For example, for the 3-chemical interactions discussed here, if the 3 SVs are denoted as C1, C2, and C3, then the generalized mass balance equation (4) for compartment “i” would, for C1, have a sink term of - 0.1V</w:t>
      </w:r>
      <w:r w:rsidRPr="007907C2">
        <w:rPr>
          <w:vertAlign w:val="subscript"/>
        </w:rPr>
        <w:t>i</w:t>
      </w:r>
      <w:r w:rsidRPr="007907C2">
        <w:t>C1</w:t>
      </w:r>
      <w:r w:rsidRPr="007907C2">
        <w:rPr>
          <w:vertAlign w:val="subscript"/>
        </w:rPr>
        <w:t>i</w:t>
      </w:r>
      <w:r w:rsidRPr="007907C2">
        <w:t xml:space="preserve"> and “-0.1” would be entered into the SV 1 record for compartment “i” of VolumeSrcSnks.csv.  C2 would have a corresponding source term of + 0.1V</w:t>
      </w:r>
      <w:r w:rsidRPr="007907C2">
        <w:rPr>
          <w:vertAlign w:val="subscript"/>
        </w:rPr>
        <w:t>i</w:t>
      </w:r>
      <w:r w:rsidRPr="007907C2">
        <w:t>C1</w:t>
      </w:r>
      <w:r w:rsidRPr="007907C2">
        <w:rPr>
          <w:vertAlign w:val="subscript"/>
        </w:rPr>
        <w:t xml:space="preserve">i </w:t>
      </w:r>
      <w:r w:rsidRPr="007907C2">
        <w:t>and a sink term of - 0.05V</w:t>
      </w:r>
      <w:r w:rsidRPr="007907C2">
        <w:rPr>
          <w:vertAlign w:val="subscript"/>
        </w:rPr>
        <w:t>i</w:t>
      </w:r>
      <w:r w:rsidRPr="007907C2">
        <w:t>C2</w:t>
      </w:r>
      <w:r w:rsidRPr="007907C2">
        <w:rPr>
          <w:vertAlign w:val="subscript"/>
        </w:rPr>
        <w:t xml:space="preserve">i </w:t>
      </w:r>
      <w:r w:rsidRPr="007907C2">
        <w:t>in equation (4), and one record for SV 2 would have “0.1” while a separate record for SV 2 would have “-0.05”.  C3 would have a corresponding source term of + 0.05V</w:t>
      </w:r>
      <w:r w:rsidRPr="007907C2">
        <w:rPr>
          <w:vertAlign w:val="subscript"/>
        </w:rPr>
        <w:t>i</w:t>
      </w:r>
      <w:r w:rsidRPr="007907C2">
        <w:t>C2</w:t>
      </w:r>
      <w:r w:rsidRPr="007907C2">
        <w:rPr>
          <w:vertAlign w:val="subscript"/>
        </w:rPr>
        <w:t>i</w:t>
      </w:r>
      <w:r w:rsidRPr="007907C2">
        <w:t xml:space="preserve"> and a sink term of - 0.01V</w:t>
      </w:r>
      <w:r w:rsidRPr="007907C2">
        <w:rPr>
          <w:vertAlign w:val="subscript"/>
        </w:rPr>
        <w:t>i</w:t>
      </w:r>
      <w:r w:rsidRPr="007907C2">
        <w:t>C3</w:t>
      </w:r>
      <w:r w:rsidRPr="007907C2">
        <w:rPr>
          <w:vertAlign w:val="subscript"/>
        </w:rPr>
        <w:t>i</w:t>
      </w:r>
      <w:r w:rsidRPr="007907C2">
        <w:t xml:space="preserve"> and also involve two records for SV 3.  User inputs to AreaSrcSnks.csv follow a similar protocol.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BEF"/>
    <w:multiLevelType w:val="hybridMultilevel"/>
    <w:tmpl w:val="21DA29B0"/>
    <w:lvl w:ilvl="0" w:tplc="01486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7C4A"/>
    <w:multiLevelType w:val="singleLevel"/>
    <w:tmpl w:val="A0F6A99E"/>
    <w:lvl w:ilvl="0">
      <w:start w:val="1"/>
      <w:numFmt w:val="bullet"/>
      <w:pStyle w:val="bullet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</w:abstractNum>
  <w:abstractNum w:abstractNumId="2">
    <w:nsid w:val="262352B3"/>
    <w:multiLevelType w:val="hybridMultilevel"/>
    <w:tmpl w:val="2EC0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E6946"/>
    <w:multiLevelType w:val="hybridMultilevel"/>
    <w:tmpl w:val="5B52B740"/>
    <w:lvl w:ilvl="0" w:tplc="810C1DD8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565AD"/>
    <w:multiLevelType w:val="hybridMultilevel"/>
    <w:tmpl w:val="5A48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41B21"/>
    <w:multiLevelType w:val="hybridMultilevel"/>
    <w:tmpl w:val="DCAC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98"/>
    <w:rsid w:val="00001185"/>
    <w:rsid w:val="00003045"/>
    <w:rsid w:val="00004AA8"/>
    <w:rsid w:val="0000669B"/>
    <w:rsid w:val="0000774E"/>
    <w:rsid w:val="0001217C"/>
    <w:rsid w:val="00012B61"/>
    <w:rsid w:val="00012DB7"/>
    <w:rsid w:val="00020584"/>
    <w:rsid w:val="0002161E"/>
    <w:rsid w:val="00022ABD"/>
    <w:rsid w:val="0002461E"/>
    <w:rsid w:val="00025C16"/>
    <w:rsid w:val="00025FB0"/>
    <w:rsid w:val="000276F9"/>
    <w:rsid w:val="00030D80"/>
    <w:rsid w:val="00031AE8"/>
    <w:rsid w:val="00032202"/>
    <w:rsid w:val="00034600"/>
    <w:rsid w:val="000347C3"/>
    <w:rsid w:val="00037200"/>
    <w:rsid w:val="00042BD7"/>
    <w:rsid w:val="00043A25"/>
    <w:rsid w:val="0004796D"/>
    <w:rsid w:val="000547C3"/>
    <w:rsid w:val="00056F63"/>
    <w:rsid w:val="00057A1F"/>
    <w:rsid w:val="00070F92"/>
    <w:rsid w:val="000721B5"/>
    <w:rsid w:val="00076FE3"/>
    <w:rsid w:val="000827BE"/>
    <w:rsid w:val="00083AA5"/>
    <w:rsid w:val="000846DA"/>
    <w:rsid w:val="00084C17"/>
    <w:rsid w:val="00085573"/>
    <w:rsid w:val="00085DC5"/>
    <w:rsid w:val="000861E2"/>
    <w:rsid w:val="00090BCA"/>
    <w:rsid w:val="00091E65"/>
    <w:rsid w:val="000927A5"/>
    <w:rsid w:val="000935BC"/>
    <w:rsid w:val="000A2947"/>
    <w:rsid w:val="000A4CFC"/>
    <w:rsid w:val="000A688F"/>
    <w:rsid w:val="000A6C55"/>
    <w:rsid w:val="000C36DD"/>
    <w:rsid w:val="000C5378"/>
    <w:rsid w:val="000D11B3"/>
    <w:rsid w:val="000D212E"/>
    <w:rsid w:val="000D55CE"/>
    <w:rsid w:val="000D6A79"/>
    <w:rsid w:val="000D6F49"/>
    <w:rsid w:val="000E0128"/>
    <w:rsid w:val="000E16A5"/>
    <w:rsid w:val="000E1D3D"/>
    <w:rsid w:val="000E61FC"/>
    <w:rsid w:val="000F0414"/>
    <w:rsid w:val="000F2810"/>
    <w:rsid w:val="000F428C"/>
    <w:rsid w:val="000F5430"/>
    <w:rsid w:val="000F6F3F"/>
    <w:rsid w:val="00101BBA"/>
    <w:rsid w:val="00104160"/>
    <w:rsid w:val="001073E5"/>
    <w:rsid w:val="001139FB"/>
    <w:rsid w:val="00113FAA"/>
    <w:rsid w:val="0011560F"/>
    <w:rsid w:val="00115B3E"/>
    <w:rsid w:val="00126926"/>
    <w:rsid w:val="00132532"/>
    <w:rsid w:val="001412E3"/>
    <w:rsid w:val="001509EC"/>
    <w:rsid w:val="00150A57"/>
    <w:rsid w:val="00160A23"/>
    <w:rsid w:val="00161718"/>
    <w:rsid w:val="0017241E"/>
    <w:rsid w:val="00172AC7"/>
    <w:rsid w:val="00172B70"/>
    <w:rsid w:val="0017373D"/>
    <w:rsid w:val="0017403F"/>
    <w:rsid w:val="00180DB4"/>
    <w:rsid w:val="0018368C"/>
    <w:rsid w:val="00183FAA"/>
    <w:rsid w:val="00186275"/>
    <w:rsid w:val="00196815"/>
    <w:rsid w:val="001A16E5"/>
    <w:rsid w:val="001A1AD6"/>
    <w:rsid w:val="001A39EF"/>
    <w:rsid w:val="001A4259"/>
    <w:rsid w:val="001A6407"/>
    <w:rsid w:val="001B1362"/>
    <w:rsid w:val="001B1B51"/>
    <w:rsid w:val="001B5D7D"/>
    <w:rsid w:val="001C0D9E"/>
    <w:rsid w:val="001C1B66"/>
    <w:rsid w:val="001C2108"/>
    <w:rsid w:val="001C39FB"/>
    <w:rsid w:val="001C476B"/>
    <w:rsid w:val="001C6BFD"/>
    <w:rsid w:val="001C6F91"/>
    <w:rsid w:val="001C72B4"/>
    <w:rsid w:val="001D4186"/>
    <w:rsid w:val="001F53C2"/>
    <w:rsid w:val="001F735A"/>
    <w:rsid w:val="002005BF"/>
    <w:rsid w:val="00200C61"/>
    <w:rsid w:val="0020172F"/>
    <w:rsid w:val="00207357"/>
    <w:rsid w:val="00212735"/>
    <w:rsid w:val="002263FB"/>
    <w:rsid w:val="00227742"/>
    <w:rsid w:val="0023589E"/>
    <w:rsid w:val="00237494"/>
    <w:rsid w:val="002479D8"/>
    <w:rsid w:val="00254176"/>
    <w:rsid w:val="00255BE4"/>
    <w:rsid w:val="002563B0"/>
    <w:rsid w:val="0025689A"/>
    <w:rsid w:val="002577D4"/>
    <w:rsid w:val="00265CB3"/>
    <w:rsid w:val="00267819"/>
    <w:rsid w:val="00276728"/>
    <w:rsid w:val="002773B2"/>
    <w:rsid w:val="00280A17"/>
    <w:rsid w:val="00285040"/>
    <w:rsid w:val="0028749B"/>
    <w:rsid w:val="0029284C"/>
    <w:rsid w:val="00293299"/>
    <w:rsid w:val="00293F98"/>
    <w:rsid w:val="00294C43"/>
    <w:rsid w:val="00295E8F"/>
    <w:rsid w:val="0029716E"/>
    <w:rsid w:val="002A56FA"/>
    <w:rsid w:val="002A5EB3"/>
    <w:rsid w:val="002A63D6"/>
    <w:rsid w:val="002A7345"/>
    <w:rsid w:val="002B0CFA"/>
    <w:rsid w:val="002B3AB9"/>
    <w:rsid w:val="002B3DE8"/>
    <w:rsid w:val="002B4CF5"/>
    <w:rsid w:val="002C06D2"/>
    <w:rsid w:val="002C67B4"/>
    <w:rsid w:val="002C68CA"/>
    <w:rsid w:val="002D50D3"/>
    <w:rsid w:val="002E1F2E"/>
    <w:rsid w:val="002E421B"/>
    <w:rsid w:val="002E609B"/>
    <w:rsid w:val="002F5154"/>
    <w:rsid w:val="002F6B36"/>
    <w:rsid w:val="00306176"/>
    <w:rsid w:val="003101E1"/>
    <w:rsid w:val="00310A52"/>
    <w:rsid w:val="00311607"/>
    <w:rsid w:val="00311B07"/>
    <w:rsid w:val="00312C06"/>
    <w:rsid w:val="003142EC"/>
    <w:rsid w:val="00314ED5"/>
    <w:rsid w:val="0031642E"/>
    <w:rsid w:val="00320EDA"/>
    <w:rsid w:val="003212E6"/>
    <w:rsid w:val="00325EB5"/>
    <w:rsid w:val="003340D4"/>
    <w:rsid w:val="00334D81"/>
    <w:rsid w:val="0033667D"/>
    <w:rsid w:val="003434AD"/>
    <w:rsid w:val="003448EF"/>
    <w:rsid w:val="00344AA8"/>
    <w:rsid w:val="003461B8"/>
    <w:rsid w:val="00356BF2"/>
    <w:rsid w:val="003578F8"/>
    <w:rsid w:val="003612EA"/>
    <w:rsid w:val="00363D2D"/>
    <w:rsid w:val="0036762B"/>
    <w:rsid w:val="00367FFE"/>
    <w:rsid w:val="003724E2"/>
    <w:rsid w:val="003729DA"/>
    <w:rsid w:val="00372CF1"/>
    <w:rsid w:val="003771D7"/>
    <w:rsid w:val="0038342E"/>
    <w:rsid w:val="00383871"/>
    <w:rsid w:val="00385948"/>
    <w:rsid w:val="003859E6"/>
    <w:rsid w:val="00387A8D"/>
    <w:rsid w:val="00392DBD"/>
    <w:rsid w:val="003945B3"/>
    <w:rsid w:val="003971C7"/>
    <w:rsid w:val="003A06F2"/>
    <w:rsid w:val="003B03B6"/>
    <w:rsid w:val="003B0798"/>
    <w:rsid w:val="003B5BF6"/>
    <w:rsid w:val="003B7F40"/>
    <w:rsid w:val="003C16BE"/>
    <w:rsid w:val="003C1F0B"/>
    <w:rsid w:val="003C277B"/>
    <w:rsid w:val="003C2F00"/>
    <w:rsid w:val="003C3C61"/>
    <w:rsid w:val="003D35C3"/>
    <w:rsid w:val="003D48B2"/>
    <w:rsid w:val="003D739C"/>
    <w:rsid w:val="003E0811"/>
    <w:rsid w:val="003E6E37"/>
    <w:rsid w:val="003F4E69"/>
    <w:rsid w:val="00403548"/>
    <w:rsid w:val="0040493F"/>
    <w:rsid w:val="00405CBA"/>
    <w:rsid w:val="00406B30"/>
    <w:rsid w:val="004116D2"/>
    <w:rsid w:val="00411B91"/>
    <w:rsid w:val="00412C00"/>
    <w:rsid w:val="0041447B"/>
    <w:rsid w:val="00417C90"/>
    <w:rsid w:val="00417D64"/>
    <w:rsid w:val="00422F93"/>
    <w:rsid w:val="00424575"/>
    <w:rsid w:val="004254C0"/>
    <w:rsid w:val="00425BEA"/>
    <w:rsid w:val="004273D6"/>
    <w:rsid w:val="00430D0B"/>
    <w:rsid w:val="00433A74"/>
    <w:rsid w:val="00433B00"/>
    <w:rsid w:val="00443E64"/>
    <w:rsid w:val="004464B7"/>
    <w:rsid w:val="00450BA8"/>
    <w:rsid w:val="00453F6E"/>
    <w:rsid w:val="004548D1"/>
    <w:rsid w:val="0045527C"/>
    <w:rsid w:val="00455627"/>
    <w:rsid w:val="0046078A"/>
    <w:rsid w:val="004615C0"/>
    <w:rsid w:val="0046669E"/>
    <w:rsid w:val="004668AC"/>
    <w:rsid w:val="00470AAF"/>
    <w:rsid w:val="004726A7"/>
    <w:rsid w:val="004744D1"/>
    <w:rsid w:val="004752CD"/>
    <w:rsid w:val="00476B4F"/>
    <w:rsid w:val="00476E33"/>
    <w:rsid w:val="0047783C"/>
    <w:rsid w:val="00483642"/>
    <w:rsid w:val="004852B9"/>
    <w:rsid w:val="004859BA"/>
    <w:rsid w:val="004917F4"/>
    <w:rsid w:val="00495555"/>
    <w:rsid w:val="004973CC"/>
    <w:rsid w:val="004A0A12"/>
    <w:rsid w:val="004A1D1B"/>
    <w:rsid w:val="004A5ADF"/>
    <w:rsid w:val="004B0072"/>
    <w:rsid w:val="004B20E3"/>
    <w:rsid w:val="004B20EE"/>
    <w:rsid w:val="004B24FC"/>
    <w:rsid w:val="004B29F2"/>
    <w:rsid w:val="004B56D5"/>
    <w:rsid w:val="004B6FCF"/>
    <w:rsid w:val="004C1FA1"/>
    <w:rsid w:val="004C277B"/>
    <w:rsid w:val="004C5998"/>
    <w:rsid w:val="004C78EA"/>
    <w:rsid w:val="004D038E"/>
    <w:rsid w:val="004D2DB5"/>
    <w:rsid w:val="004D47F0"/>
    <w:rsid w:val="004D4948"/>
    <w:rsid w:val="004D5B33"/>
    <w:rsid w:val="004D6CEE"/>
    <w:rsid w:val="004D761B"/>
    <w:rsid w:val="004D7A88"/>
    <w:rsid w:val="004E06DF"/>
    <w:rsid w:val="004E132B"/>
    <w:rsid w:val="004E2911"/>
    <w:rsid w:val="004E48B6"/>
    <w:rsid w:val="004E78B0"/>
    <w:rsid w:val="004F08B5"/>
    <w:rsid w:val="004F4787"/>
    <w:rsid w:val="004F52DF"/>
    <w:rsid w:val="00500437"/>
    <w:rsid w:val="00503081"/>
    <w:rsid w:val="00503E07"/>
    <w:rsid w:val="0050435D"/>
    <w:rsid w:val="00507DC4"/>
    <w:rsid w:val="0051109B"/>
    <w:rsid w:val="005176C3"/>
    <w:rsid w:val="00520868"/>
    <w:rsid w:val="00524AB8"/>
    <w:rsid w:val="00525EB4"/>
    <w:rsid w:val="0052620C"/>
    <w:rsid w:val="00526B83"/>
    <w:rsid w:val="00526B97"/>
    <w:rsid w:val="005273F6"/>
    <w:rsid w:val="00532921"/>
    <w:rsid w:val="005344B3"/>
    <w:rsid w:val="005376A8"/>
    <w:rsid w:val="00537A21"/>
    <w:rsid w:val="00540968"/>
    <w:rsid w:val="00545B57"/>
    <w:rsid w:val="005506FE"/>
    <w:rsid w:val="00564AC2"/>
    <w:rsid w:val="00566590"/>
    <w:rsid w:val="005714D4"/>
    <w:rsid w:val="0057156C"/>
    <w:rsid w:val="00574148"/>
    <w:rsid w:val="00575F55"/>
    <w:rsid w:val="0057643D"/>
    <w:rsid w:val="00581904"/>
    <w:rsid w:val="00581E2A"/>
    <w:rsid w:val="00595FB5"/>
    <w:rsid w:val="005A050F"/>
    <w:rsid w:val="005A0816"/>
    <w:rsid w:val="005A096B"/>
    <w:rsid w:val="005A5FF5"/>
    <w:rsid w:val="005A6FA7"/>
    <w:rsid w:val="005A74A1"/>
    <w:rsid w:val="005B0003"/>
    <w:rsid w:val="005B37A7"/>
    <w:rsid w:val="005B3891"/>
    <w:rsid w:val="005B4631"/>
    <w:rsid w:val="005B74C1"/>
    <w:rsid w:val="005B7F78"/>
    <w:rsid w:val="005C1C72"/>
    <w:rsid w:val="005C369A"/>
    <w:rsid w:val="005D2A74"/>
    <w:rsid w:val="005D64BC"/>
    <w:rsid w:val="005D768D"/>
    <w:rsid w:val="005D7C17"/>
    <w:rsid w:val="005E5203"/>
    <w:rsid w:val="005E7A78"/>
    <w:rsid w:val="005F02BE"/>
    <w:rsid w:val="005F0301"/>
    <w:rsid w:val="005F0F8E"/>
    <w:rsid w:val="005F4E31"/>
    <w:rsid w:val="005F69B6"/>
    <w:rsid w:val="005F74DE"/>
    <w:rsid w:val="005F7F09"/>
    <w:rsid w:val="00601AF0"/>
    <w:rsid w:val="00601E42"/>
    <w:rsid w:val="00603924"/>
    <w:rsid w:val="00604C97"/>
    <w:rsid w:val="00605F9F"/>
    <w:rsid w:val="00611A5E"/>
    <w:rsid w:val="00613545"/>
    <w:rsid w:val="006147CA"/>
    <w:rsid w:val="00617393"/>
    <w:rsid w:val="00622788"/>
    <w:rsid w:val="006255F4"/>
    <w:rsid w:val="006323F8"/>
    <w:rsid w:val="0063575F"/>
    <w:rsid w:val="006357BA"/>
    <w:rsid w:val="00637384"/>
    <w:rsid w:val="006419E3"/>
    <w:rsid w:val="00642330"/>
    <w:rsid w:val="0064327F"/>
    <w:rsid w:val="00643C3F"/>
    <w:rsid w:val="006452F7"/>
    <w:rsid w:val="00650D51"/>
    <w:rsid w:val="006523EC"/>
    <w:rsid w:val="00656D03"/>
    <w:rsid w:val="0066641D"/>
    <w:rsid w:val="00666762"/>
    <w:rsid w:val="00666C18"/>
    <w:rsid w:val="00666EB9"/>
    <w:rsid w:val="006709C7"/>
    <w:rsid w:val="0067125C"/>
    <w:rsid w:val="00671D94"/>
    <w:rsid w:val="00672ABE"/>
    <w:rsid w:val="00674260"/>
    <w:rsid w:val="006742C4"/>
    <w:rsid w:val="00675D11"/>
    <w:rsid w:val="006825B5"/>
    <w:rsid w:val="006862A3"/>
    <w:rsid w:val="00686CF7"/>
    <w:rsid w:val="0069253B"/>
    <w:rsid w:val="00693CA7"/>
    <w:rsid w:val="00696CEF"/>
    <w:rsid w:val="006A0CE1"/>
    <w:rsid w:val="006A2003"/>
    <w:rsid w:val="006A36E0"/>
    <w:rsid w:val="006A684F"/>
    <w:rsid w:val="006A74FC"/>
    <w:rsid w:val="006A7F2F"/>
    <w:rsid w:val="006B13BF"/>
    <w:rsid w:val="006B3B62"/>
    <w:rsid w:val="006B4393"/>
    <w:rsid w:val="006B4DF9"/>
    <w:rsid w:val="006C4823"/>
    <w:rsid w:val="006C4D76"/>
    <w:rsid w:val="006C5E11"/>
    <w:rsid w:val="006C60BD"/>
    <w:rsid w:val="006C7805"/>
    <w:rsid w:val="006D0153"/>
    <w:rsid w:val="006D40E8"/>
    <w:rsid w:val="006E1662"/>
    <w:rsid w:val="006E220E"/>
    <w:rsid w:val="006E26EF"/>
    <w:rsid w:val="006E40A0"/>
    <w:rsid w:val="006F0166"/>
    <w:rsid w:val="006F0B86"/>
    <w:rsid w:val="006F1434"/>
    <w:rsid w:val="006F396A"/>
    <w:rsid w:val="006F3FC9"/>
    <w:rsid w:val="00702AB9"/>
    <w:rsid w:val="0070380F"/>
    <w:rsid w:val="007054E8"/>
    <w:rsid w:val="00705A4D"/>
    <w:rsid w:val="00711EF4"/>
    <w:rsid w:val="007124FB"/>
    <w:rsid w:val="00713766"/>
    <w:rsid w:val="007255BF"/>
    <w:rsid w:val="007277E1"/>
    <w:rsid w:val="00731A6F"/>
    <w:rsid w:val="00735D18"/>
    <w:rsid w:val="00736FCC"/>
    <w:rsid w:val="0073747B"/>
    <w:rsid w:val="00741457"/>
    <w:rsid w:val="00745960"/>
    <w:rsid w:val="0075043C"/>
    <w:rsid w:val="007509E0"/>
    <w:rsid w:val="00750F37"/>
    <w:rsid w:val="0075513E"/>
    <w:rsid w:val="00755951"/>
    <w:rsid w:val="00757319"/>
    <w:rsid w:val="00757543"/>
    <w:rsid w:val="007577E5"/>
    <w:rsid w:val="00757A0A"/>
    <w:rsid w:val="007617C9"/>
    <w:rsid w:val="00762192"/>
    <w:rsid w:val="00770858"/>
    <w:rsid w:val="00771C51"/>
    <w:rsid w:val="00772109"/>
    <w:rsid w:val="00775CC5"/>
    <w:rsid w:val="00780BEF"/>
    <w:rsid w:val="00786318"/>
    <w:rsid w:val="00787C05"/>
    <w:rsid w:val="007907C2"/>
    <w:rsid w:val="00793100"/>
    <w:rsid w:val="00796415"/>
    <w:rsid w:val="007A2B22"/>
    <w:rsid w:val="007A33B7"/>
    <w:rsid w:val="007A6A62"/>
    <w:rsid w:val="007B10E1"/>
    <w:rsid w:val="007B3FA0"/>
    <w:rsid w:val="007B4965"/>
    <w:rsid w:val="007B551F"/>
    <w:rsid w:val="007B5D96"/>
    <w:rsid w:val="007C2E58"/>
    <w:rsid w:val="007C38D4"/>
    <w:rsid w:val="007C3B1C"/>
    <w:rsid w:val="007C520A"/>
    <w:rsid w:val="007C58E6"/>
    <w:rsid w:val="007C7493"/>
    <w:rsid w:val="007D1048"/>
    <w:rsid w:val="007D2BF0"/>
    <w:rsid w:val="007D4840"/>
    <w:rsid w:val="007D6077"/>
    <w:rsid w:val="007E0A36"/>
    <w:rsid w:val="007E1768"/>
    <w:rsid w:val="007E479D"/>
    <w:rsid w:val="007E4E79"/>
    <w:rsid w:val="007E7543"/>
    <w:rsid w:val="007F03DC"/>
    <w:rsid w:val="007F1AAE"/>
    <w:rsid w:val="007F2955"/>
    <w:rsid w:val="00801409"/>
    <w:rsid w:val="00803B43"/>
    <w:rsid w:val="00803CDF"/>
    <w:rsid w:val="008056D4"/>
    <w:rsid w:val="00805E4E"/>
    <w:rsid w:val="00806E02"/>
    <w:rsid w:val="00807A11"/>
    <w:rsid w:val="008131EE"/>
    <w:rsid w:val="00813576"/>
    <w:rsid w:val="00816681"/>
    <w:rsid w:val="00816E77"/>
    <w:rsid w:val="00821502"/>
    <w:rsid w:val="00821B91"/>
    <w:rsid w:val="00822B10"/>
    <w:rsid w:val="00825F3D"/>
    <w:rsid w:val="00827911"/>
    <w:rsid w:val="00830CBE"/>
    <w:rsid w:val="008356BB"/>
    <w:rsid w:val="00840994"/>
    <w:rsid w:val="008412FB"/>
    <w:rsid w:val="008424C0"/>
    <w:rsid w:val="00845105"/>
    <w:rsid w:val="00850AAC"/>
    <w:rsid w:val="008511D3"/>
    <w:rsid w:val="008513A7"/>
    <w:rsid w:val="00854941"/>
    <w:rsid w:val="00855802"/>
    <w:rsid w:val="00857520"/>
    <w:rsid w:val="00857E90"/>
    <w:rsid w:val="00860778"/>
    <w:rsid w:val="00860E13"/>
    <w:rsid w:val="00861DD0"/>
    <w:rsid w:val="00863A43"/>
    <w:rsid w:val="0086571E"/>
    <w:rsid w:val="0086680B"/>
    <w:rsid w:val="00877600"/>
    <w:rsid w:val="008807EE"/>
    <w:rsid w:val="0088312F"/>
    <w:rsid w:val="00886002"/>
    <w:rsid w:val="00887A28"/>
    <w:rsid w:val="00890461"/>
    <w:rsid w:val="008913A3"/>
    <w:rsid w:val="008933FA"/>
    <w:rsid w:val="0089391E"/>
    <w:rsid w:val="008A5C43"/>
    <w:rsid w:val="008A6F75"/>
    <w:rsid w:val="008A76EF"/>
    <w:rsid w:val="008A7F93"/>
    <w:rsid w:val="008B2643"/>
    <w:rsid w:val="008B2FC4"/>
    <w:rsid w:val="008B5443"/>
    <w:rsid w:val="008B5554"/>
    <w:rsid w:val="008B6E8C"/>
    <w:rsid w:val="008C2875"/>
    <w:rsid w:val="008C33F4"/>
    <w:rsid w:val="008D1BFC"/>
    <w:rsid w:val="008D2553"/>
    <w:rsid w:val="008F0E53"/>
    <w:rsid w:val="008F3D0E"/>
    <w:rsid w:val="008F562A"/>
    <w:rsid w:val="00901279"/>
    <w:rsid w:val="00901786"/>
    <w:rsid w:val="009034A1"/>
    <w:rsid w:val="00914D50"/>
    <w:rsid w:val="009206AD"/>
    <w:rsid w:val="00922A89"/>
    <w:rsid w:val="00925526"/>
    <w:rsid w:val="00926F5E"/>
    <w:rsid w:val="00933219"/>
    <w:rsid w:val="00935F3D"/>
    <w:rsid w:val="009437FB"/>
    <w:rsid w:val="009449C3"/>
    <w:rsid w:val="009467AD"/>
    <w:rsid w:val="00947A6C"/>
    <w:rsid w:val="009559E8"/>
    <w:rsid w:val="00970362"/>
    <w:rsid w:val="00973CE8"/>
    <w:rsid w:val="009831BD"/>
    <w:rsid w:val="0098359E"/>
    <w:rsid w:val="0098461D"/>
    <w:rsid w:val="00984B62"/>
    <w:rsid w:val="00986484"/>
    <w:rsid w:val="00993741"/>
    <w:rsid w:val="009A01B8"/>
    <w:rsid w:val="009A0219"/>
    <w:rsid w:val="009B13AE"/>
    <w:rsid w:val="009B2193"/>
    <w:rsid w:val="009B293D"/>
    <w:rsid w:val="009B3835"/>
    <w:rsid w:val="009B4051"/>
    <w:rsid w:val="009B4BF3"/>
    <w:rsid w:val="009C0A55"/>
    <w:rsid w:val="009C2B46"/>
    <w:rsid w:val="009C4C19"/>
    <w:rsid w:val="009D0529"/>
    <w:rsid w:val="009D59BC"/>
    <w:rsid w:val="009D6151"/>
    <w:rsid w:val="009D748C"/>
    <w:rsid w:val="009E2EA7"/>
    <w:rsid w:val="009E40DF"/>
    <w:rsid w:val="009E4CF8"/>
    <w:rsid w:val="009E6005"/>
    <w:rsid w:val="009E6E98"/>
    <w:rsid w:val="009F00D9"/>
    <w:rsid w:val="009F1D0D"/>
    <w:rsid w:val="009F217E"/>
    <w:rsid w:val="009F419E"/>
    <w:rsid w:val="009F6AA0"/>
    <w:rsid w:val="009F74E4"/>
    <w:rsid w:val="00A00584"/>
    <w:rsid w:val="00A00950"/>
    <w:rsid w:val="00A10110"/>
    <w:rsid w:val="00A10D83"/>
    <w:rsid w:val="00A13ECC"/>
    <w:rsid w:val="00A1414F"/>
    <w:rsid w:val="00A17B40"/>
    <w:rsid w:val="00A20B88"/>
    <w:rsid w:val="00A237E3"/>
    <w:rsid w:val="00A23C13"/>
    <w:rsid w:val="00A267AC"/>
    <w:rsid w:val="00A26B01"/>
    <w:rsid w:val="00A3189D"/>
    <w:rsid w:val="00A32152"/>
    <w:rsid w:val="00A37550"/>
    <w:rsid w:val="00A45C65"/>
    <w:rsid w:val="00A45E95"/>
    <w:rsid w:val="00A47FA2"/>
    <w:rsid w:val="00A50EEE"/>
    <w:rsid w:val="00A5167C"/>
    <w:rsid w:val="00A53CAB"/>
    <w:rsid w:val="00A53D6A"/>
    <w:rsid w:val="00A5432E"/>
    <w:rsid w:val="00A549B7"/>
    <w:rsid w:val="00A62A8D"/>
    <w:rsid w:val="00A63002"/>
    <w:rsid w:val="00A64290"/>
    <w:rsid w:val="00A64406"/>
    <w:rsid w:val="00A65598"/>
    <w:rsid w:val="00A729E8"/>
    <w:rsid w:val="00A740C0"/>
    <w:rsid w:val="00A745BC"/>
    <w:rsid w:val="00A831B7"/>
    <w:rsid w:val="00A8629B"/>
    <w:rsid w:val="00A8685F"/>
    <w:rsid w:val="00A91130"/>
    <w:rsid w:val="00A916AC"/>
    <w:rsid w:val="00A91BB9"/>
    <w:rsid w:val="00A924F7"/>
    <w:rsid w:val="00A929B7"/>
    <w:rsid w:val="00A92D61"/>
    <w:rsid w:val="00A9380F"/>
    <w:rsid w:val="00A94297"/>
    <w:rsid w:val="00A95512"/>
    <w:rsid w:val="00A97F33"/>
    <w:rsid w:val="00AA1E73"/>
    <w:rsid w:val="00AB0EAE"/>
    <w:rsid w:val="00AB4088"/>
    <w:rsid w:val="00AB6835"/>
    <w:rsid w:val="00AB6F7F"/>
    <w:rsid w:val="00AB7EDE"/>
    <w:rsid w:val="00AC165D"/>
    <w:rsid w:val="00AC3815"/>
    <w:rsid w:val="00AC3A7F"/>
    <w:rsid w:val="00AC4003"/>
    <w:rsid w:val="00AC52B4"/>
    <w:rsid w:val="00AD0CD1"/>
    <w:rsid w:val="00AD22DF"/>
    <w:rsid w:val="00AD22E7"/>
    <w:rsid w:val="00AD6F3F"/>
    <w:rsid w:val="00AE156D"/>
    <w:rsid w:val="00AE40D6"/>
    <w:rsid w:val="00AE5586"/>
    <w:rsid w:val="00AF0506"/>
    <w:rsid w:val="00AF2FD7"/>
    <w:rsid w:val="00B0161E"/>
    <w:rsid w:val="00B03700"/>
    <w:rsid w:val="00B039CA"/>
    <w:rsid w:val="00B04BE6"/>
    <w:rsid w:val="00B04FBD"/>
    <w:rsid w:val="00B05A11"/>
    <w:rsid w:val="00B06FC8"/>
    <w:rsid w:val="00B077DD"/>
    <w:rsid w:val="00B07C8D"/>
    <w:rsid w:val="00B10009"/>
    <w:rsid w:val="00B16E47"/>
    <w:rsid w:val="00B2020E"/>
    <w:rsid w:val="00B21A92"/>
    <w:rsid w:val="00B21D1D"/>
    <w:rsid w:val="00B22D7D"/>
    <w:rsid w:val="00B23256"/>
    <w:rsid w:val="00B23CEB"/>
    <w:rsid w:val="00B24099"/>
    <w:rsid w:val="00B27E9C"/>
    <w:rsid w:val="00B31EFB"/>
    <w:rsid w:val="00B3230D"/>
    <w:rsid w:val="00B32A90"/>
    <w:rsid w:val="00B34BF7"/>
    <w:rsid w:val="00B5324E"/>
    <w:rsid w:val="00B5618A"/>
    <w:rsid w:val="00B646C7"/>
    <w:rsid w:val="00B64C5B"/>
    <w:rsid w:val="00B703C5"/>
    <w:rsid w:val="00B74FF3"/>
    <w:rsid w:val="00B75D25"/>
    <w:rsid w:val="00B774BF"/>
    <w:rsid w:val="00B8323F"/>
    <w:rsid w:val="00B85CFA"/>
    <w:rsid w:val="00B8640F"/>
    <w:rsid w:val="00B939F0"/>
    <w:rsid w:val="00B940F5"/>
    <w:rsid w:val="00BA317F"/>
    <w:rsid w:val="00BA619A"/>
    <w:rsid w:val="00BB0654"/>
    <w:rsid w:val="00BB462D"/>
    <w:rsid w:val="00BB4924"/>
    <w:rsid w:val="00BB6A7E"/>
    <w:rsid w:val="00BC0145"/>
    <w:rsid w:val="00BC1D3F"/>
    <w:rsid w:val="00BC2989"/>
    <w:rsid w:val="00BC2C0D"/>
    <w:rsid w:val="00BD0C98"/>
    <w:rsid w:val="00BD4372"/>
    <w:rsid w:val="00BD621A"/>
    <w:rsid w:val="00BE2180"/>
    <w:rsid w:val="00BE4F76"/>
    <w:rsid w:val="00BE5E86"/>
    <w:rsid w:val="00BE63A0"/>
    <w:rsid w:val="00BE7329"/>
    <w:rsid w:val="00BE7E27"/>
    <w:rsid w:val="00BF1967"/>
    <w:rsid w:val="00BF2E32"/>
    <w:rsid w:val="00BF3ADB"/>
    <w:rsid w:val="00BF480F"/>
    <w:rsid w:val="00BF6517"/>
    <w:rsid w:val="00C00FBE"/>
    <w:rsid w:val="00C0561D"/>
    <w:rsid w:val="00C06121"/>
    <w:rsid w:val="00C06B3B"/>
    <w:rsid w:val="00C11B7C"/>
    <w:rsid w:val="00C176C8"/>
    <w:rsid w:val="00C17956"/>
    <w:rsid w:val="00C220B5"/>
    <w:rsid w:val="00C22A22"/>
    <w:rsid w:val="00C240D6"/>
    <w:rsid w:val="00C2446C"/>
    <w:rsid w:val="00C25109"/>
    <w:rsid w:val="00C25A5A"/>
    <w:rsid w:val="00C2624A"/>
    <w:rsid w:val="00C309A7"/>
    <w:rsid w:val="00C3325B"/>
    <w:rsid w:val="00C3596A"/>
    <w:rsid w:val="00C368EF"/>
    <w:rsid w:val="00C41E1D"/>
    <w:rsid w:val="00C41ED6"/>
    <w:rsid w:val="00C43322"/>
    <w:rsid w:val="00C44F53"/>
    <w:rsid w:val="00C45A66"/>
    <w:rsid w:val="00C46E77"/>
    <w:rsid w:val="00C475FC"/>
    <w:rsid w:val="00C47C5B"/>
    <w:rsid w:val="00C5304D"/>
    <w:rsid w:val="00C619F2"/>
    <w:rsid w:val="00C62E88"/>
    <w:rsid w:val="00C655B8"/>
    <w:rsid w:val="00C66B8F"/>
    <w:rsid w:val="00C67C9A"/>
    <w:rsid w:val="00C766E9"/>
    <w:rsid w:val="00C8229F"/>
    <w:rsid w:val="00C83BA9"/>
    <w:rsid w:val="00C85720"/>
    <w:rsid w:val="00C90693"/>
    <w:rsid w:val="00C92115"/>
    <w:rsid w:val="00CA050F"/>
    <w:rsid w:val="00CA0C16"/>
    <w:rsid w:val="00CA5D9B"/>
    <w:rsid w:val="00CA6BDD"/>
    <w:rsid w:val="00CB0C87"/>
    <w:rsid w:val="00CB6894"/>
    <w:rsid w:val="00CB7180"/>
    <w:rsid w:val="00CC1615"/>
    <w:rsid w:val="00CC1E6D"/>
    <w:rsid w:val="00CC30B9"/>
    <w:rsid w:val="00CC35F8"/>
    <w:rsid w:val="00CD0EFF"/>
    <w:rsid w:val="00CD7300"/>
    <w:rsid w:val="00CD77D8"/>
    <w:rsid w:val="00CD7D82"/>
    <w:rsid w:val="00CE1F69"/>
    <w:rsid w:val="00CE1FA2"/>
    <w:rsid w:val="00CE25FB"/>
    <w:rsid w:val="00CE3ED3"/>
    <w:rsid w:val="00CF338A"/>
    <w:rsid w:val="00CF4D6E"/>
    <w:rsid w:val="00D00F54"/>
    <w:rsid w:val="00D055BE"/>
    <w:rsid w:val="00D064BC"/>
    <w:rsid w:val="00D1218C"/>
    <w:rsid w:val="00D12477"/>
    <w:rsid w:val="00D150A8"/>
    <w:rsid w:val="00D16404"/>
    <w:rsid w:val="00D223A7"/>
    <w:rsid w:val="00D2304D"/>
    <w:rsid w:val="00D23632"/>
    <w:rsid w:val="00D24656"/>
    <w:rsid w:val="00D308D8"/>
    <w:rsid w:val="00D309BE"/>
    <w:rsid w:val="00D315D2"/>
    <w:rsid w:val="00D31C10"/>
    <w:rsid w:val="00D321DF"/>
    <w:rsid w:val="00D35C34"/>
    <w:rsid w:val="00D36B22"/>
    <w:rsid w:val="00D40F1B"/>
    <w:rsid w:val="00D416D8"/>
    <w:rsid w:val="00D42C8B"/>
    <w:rsid w:val="00D4305E"/>
    <w:rsid w:val="00D44004"/>
    <w:rsid w:val="00D454B9"/>
    <w:rsid w:val="00D457A1"/>
    <w:rsid w:val="00D46A86"/>
    <w:rsid w:val="00D500DB"/>
    <w:rsid w:val="00D5034C"/>
    <w:rsid w:val="00D52BC8"/>
    <w:rsid w:val="00D55D67"/>
    <w:rsid w:val="00D603F9"/>
    <w:rsid w:val="00D62724"/>
    <w:rsid w:val="00D7144D"/>
    <w:rsid w:val="00D725B6"/>
    <w:rsid w:val="00D80534"/>
    <w:rsid w:val="00D80E4D"/>
    <w:rsid w:val="00D81AC4"/>
    <w:rsid w:val="00D90F34"/>
    <w:rsid w:val="00D91149"/>
    <w:rsid w:val="00D955E2"/>
    <w:rsid w:val="00D97740"/>
    <w:rsid w:val="00DA4BB0"/>
    <w:rsid w:val="00DA55E6"/>
    <w:rsid w:val="00DB15B0"/>
    <w:rsid w:val="00DB1763"/>
    <w:rsid w:val="00DB1A6F"/>
    <w:rsid w:val="00DB3E8A"/>
    <w:rsid w:val="00DB4F0A"/>
    <w:rsid w:val="00DC2FE4"/>
    <w:rsid w:val="00DD0AAF"/>
    <w:rsid w:val="00DD3E7C"/>
    <w:rsid w:val="00DD7E70"/>
    <w:rsid w:val="00DE2D3E"/>
    <w:rsid w:val="00DE6E46"/>
    <w:rsid w:val="00DE7564"/>
    <w:rsid w:val="00DF15DB"/>
    <w:rsid w:val="00E0316B"/>
    <w:rsid w:val="00E04672"/>
    <w:rsid w:val="00E06CEA"/>
    <w:rsid w:val="00E126CA"/>
    <w:rsid w:val="00E2329E"/>
    <w:rsid w:val="00E30891"/>
    <w:rsid w:val="00E35ACF"/>
    <w:rsid w:val="00E35E0E"/>
    <w:rsid w:val="00E3772B"/>
    <w:rsid w:val="00E4048B"/>
    <w:rsid w:val="00E45948"/>
    <w:rsid w:val="00E51BB1"/>
    <w:rsid w:val="00E526C9"/>
    <w:rsid w:val="00E539E4"/>
    <w:rsid w:val="00E6070C"/>
    <w:rsid w:val="00E6111A"/>
    <w:rsid w:val="00E6243E"/>
    <w:rsid w:val="00E65FDA"/>
    <w:rsid w:val="00E66407"/>
    <w:rsid w:val="00E7086C"/>
    <w:rsid w:val="00E713CE"/>
    <w:rsid w:val="00E71FA3"/>
    <w:rsid w:val="00E74CDE"/>
    <w:rsid w:val="00E81579"/>
    <w:rsid w:val="00E822A5"/>
    <w:rsid w:val="00E83A65"/>
    <w:rsid w:val="00E85794"/>
    <w:rsid w:val="00E87F86"/>
    <w:rsid w:val="00E92BEE"/>
    <w:rsid w:val="00E95CA7"/>
    <w:rsid w:val="00E973D4"/>
    <w:rsid w:val="00EA0AC0"/>
    <w:rsid w:val="00EA4CE4"/>
    <w:rsid w:val="00EA6BFB"/>
    <w:rsid w:val="00EB05F9"/>
    <w:rsid w:val="00EB5A64"/>
    <w:rsid w:val="00EB6462"/>
    <w:rsid w:val="00EB7810"/>
    <w:rsid w:val="00EC0E05"/>
    <w:rsid w:val="00EC5AF9"/>
    <w:rsid w:val="00EC6BA4"/>
    <w:rsid w:val="00EC6C95"/>
    <w:rsid w:val="00ED0D1D"/>
    <w:rsid w:val="00EE1082"/>
    <w:rsid w:val="00EE4591"/>
    <w:rsid w:val="00EE70C5"/>
    <w:rsid w:val="00F0049C"/>
    <w:rsid w:val="00F0079C"/>
    <w:rsid w:val="00F03DE4"/>
    <w:rsid w:val="00F049DD"/>
    <w:rsid w:val="00F07E62"/>
    <w:rsid w:val="00F10B18"/>
    <w:rsid w:val="00F10B97"/>
    <w:rsid w:val="00F23663"/>
    <w:rsid w:val="00F26C78"/>
    <w:rsid w:val="00F308DD"/>
    <w:rsid w:val="00F32E30"/>
    <w:rsid w:val="00F41802"/>
    <w:rsid w:val="00F4294B"/>
    <w:rsid w:val="00F44B9B"/>
    <w:rsid w:val="00F4662B"/>
    <w:rsid w:val="00F508A2"/>
    <w:rsid w:val="00F550FB"/>
    <w:rsid w:val="00F559F4"/>
    <w:rsid w:val="00F753FD"/>
    <w:rsid w:val="00F83BF0"/>
    <w:rsid w:val="00F84A67"/>
    <w:rsid w:val="00F85AE0"/>
    <w:rsid w:val="00F905AB"/>
    <w:rsid w:val="00FA0465"/>
    <w:rsid w:val="00FB0A58"/>
    <w:rsid w:val="00FB119B"/>
    <w:rsid w:val="00FC0B81"/>
    <w:rsid w:val="00FC30A1"/>
    <w:rsid w:val="00FD2F16"/>
    <w:rsid w:val="00FD30B4"/>
    <w:rsid w:val="00FD59A3"/>
    <w:rsid w:val="00FD7E30"/>
    <w:rsid w:val="00FE5F79"/>
    <w:rsid w:val="00FE7981"/>
    <w:rsid w:val="00FE7D30"/>
    <w:rsid w:val="00FF311D"/>
    <w:rsid w:val="00FF4A83"/>
    <w:rsid w:val="00FF572B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BE"/>
  </w:style>
  <w:style w:type="paragraph" w:styleId="Footer">
    <w:name w:val="footer"/>
    <w:basedOn w:val="Normal"/>
    <w:link w:val="Foot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BE"/>
  </w:style>
  <w:style w:type="paragraph" w:styleId="ListParagraph">
    <w:name w:val="List Paragraph"/>
    <w:basedOn w:val="Normal"/>
    <w:uiPriority w:val="34"/>
    <w:qFormat/>
    <w:rsid w:val="00DB17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3A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A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3AB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8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1E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E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ED6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74FC"/>
    <w:pPr>
      <w:keepNext/>
      <w:spacing w:after="120" w:line="240" w:lineRule="auto"/>
      <w:jc w:val="center"/>
    </w:pPr>
    <w:rPr>
      <w:rFonts w:ascii="Times New Roman" w:hAnsi="Times New Roman"/>
      <w:b/>
      <w:bCs/>
      <w:szCs w:val="20"/>
    </w:rPr>
  </w:style>
  <w:style w:type="table" w:customStyle="1" w:styleId="GridTable4Accent1">
    <w:name w:val="Grid Table 4 Accent 1"/>
    <w:basedOn w:val="TableNormal"/>
    <w:uiPriority w:val="49"/>
    <w:rsid w:val="00822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62B"/>
    <w:rPr>
      <w:color w:val="954F72" w:themeColor="followedHyperlink"/>
      <w:u w:val="single"/>
    </w:rPr>
  </w:style>
  <w:style w:type="paragraph" w:customStyle="1" w:styleId="Default">
    <w:name w:val="Default"/>
    <w:rsid w:val="00886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ullets">
    <w:name w:val="bullets"/>
    <w:basedOn w:val="Normal"/>
    <w:rsid w:val="007D4840"/>
    <w:pPr>
      <w:numPr>
        <w:numId w:val="3"/>
      </w:num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7D4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BE"/>
  </w:style>
  <w:style w:type="paragraph" w:styleId="Footer">
    <w:name w:val="footer"/>
    <w:basedOn w:val="Normal"/>
    <w:link w:val="Foot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BE"/>
  </w:style>
  <w:style w:type="paragraph" w:styleId="ListParagraph">
    <w:name w:val="List Paragraph"/>
    <w:basedOn w:val="Normal"/>
    <w:uiPriority w:val="34"/>
    <w:qFormat/>
    <w:rsid w:val="00DB17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3A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A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3AB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8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1E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E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ED6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74FC"/>
    <w:pPr>
      <w:keepNext/>
      <w:spacing w:after="120" w:line="240" w:lineRule="auto"/>
      <w:jc w:val="center"/>
    </w:pPr>
    <w:rPr>
      <w:rFonts w:ascii="Times New Roman" w:hAnsi="Times New Roman"/>
      <w:b/>
      <w:bCs/>
      <w:szCs w:val="20"/>
    </w:rPr>
  </w:style>
  <w:style w:type="table" w:customStyle="1" w:styleId="GridTable4Accent1">
    <w:name w:val="Grid Table 4 Accent 1"/>
    <w:basedOn w:val="TableNormal"/>
    <w:uiPriority w:val="49"/>
    <w:rsid w:val="00822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62B"/>
    <w:rPr>
      <w:color w:val="954F72" w:themeColor="followedHyperlink"/>
      <w:u w:val="single"/>
    </w:rPr>
  </w:style>
  <w:style w:type="paragraph" w:customStyle="1" w:styleId="Default">
    <w:name w:val="Default"/>
    <w:rsid w:val="00886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ullets">
    <w:name w:val="bullets"/>
    <w:basedOn w:val="Normal"/>
    <w:rsid w:val="007D4840"/>
    <w:pPr>
      <w:numPr>
        <w:numId w:val="3"/>
      </w:num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7D4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hydrolab.illinois.edu/gw_appl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086EA-021C-46BD-A494-787C55BE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62859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Little</dc:creator>
  <cp:keywords/>
  <dc:description/>
  <cp:lastModifiedBy>Keith</cp:lastModifiedBy>
  <cp:revision>575</cp:revision>
  <cp:lastPrinted>2017-12-22T16:42:00Z</cp:lastPrinted>
  <dcterms:created xsi:type="dcterms:W3CDTF">2016-04-05T14:06:00Z</dcterms:created>
  <dcterms:modified xsi:type="dcterms:W3CDTF">2017-12-26T14:36:00Z</dcterms:modified>
</cp:coreProperties>
</file>