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1A" w:rsidRDefault="00A31232" w:rsidP="002F201A">
      <w:pPr>
        <w:pStyle w:val="Heading1"/>
      </w:pPr>
      <w:r>
        <w:t>CodeLink GE Healthcare Analysis</w:t>
      </w:r>
    </w:p>
    <w:p w:rsidR="002F201A" w:rsidRDefault="002F201A" w:rsidP="00A31232">
      <w:pPr>
        <w:ind w:firstLine="0"/>
      </w:pPr>
    </w:p>
    <w:p w:rsidR="002F201A" w:rsidRDefault="002F201A" w:rsidP="00A31232">
      <w:pPr>
        <w:ind w:firstLine="0"/>
      </w:pPr>
      <w:r>
        <w:t>Damir Herman, UAMS</w:t>
      </w:r>
    </w:p>
    <w:p w:rsidR="002F201A" w:rsidRDefault="002F201A" w:rsidP="00A31232">
      <w:pPr>
        <w:ind w:firstLine="0"/>
      </w:pPr>
      <w:r>
        <w:t>Wednesday, January 5, 2010</w:t>
      </w:r>
    </w:p>
    <w:p w:rsidR="00A31232" w:rsidRDefault="00A31232" w:rsidP="00A31232">
      <w:pPr>
        <w:ind w:firstLine="0"/>
      </w:pPr>
    </w:p>
    <w:p w:rsidR="00A31232" w:rsidRDefault="00BF56D9" w:rsidP="00A31232">
      <w:pPr>
        <w:ind w:firstLine="0"/>
      </w:pPr>
      <w:r>
        <w:t xml:space="preserve">I analyzed probes that Jennifer sent me on December 22, 2010. </w:t>
      </w:r>
      <w:r w:rsidR="002F201A">
        <w:t>I mapped the probes with standalone blast to three different databases that should contain all sequences deposited in the public domain (that I know of)</w:t>
      </w:r>
    </w:p>
    <w:p w:rsidR="00B10F70" w:rsidRDefault="00B10F70" w:rsidP="00A31232">
      <w:pPr>
        <w:ind w:firstLine="0"/>
      </w:pPr>
    </w:p>
    <w:p w:rsidR="00B10F70" w:rsidRDefault="00B10F70" w:rsidP="00A31232">
      <w:pPr>
        <w:ind w:firstLine="0"/>
      </w:pPr>
      <w:r>
        <w:t>1) RefSeq database, downloaded in October 2010.</w:t>
      </w:r>
      <w:r w:rsidR="002F201A">
        <w:t xml:space="preserve"> Used in mRNA-seq read mapping.</w:t>
      </w:r>
    </w:p>
    <w:p w:rsidR="00B10F70" w:rsidRDefault="00B10F70" w:rsidP="00A31232">
      <w:pPr>
        <w:ind w:firstLine="0"/>
      </w:pPr>
    </w:p>
    <w:p w:rsidR="00A31232" w:rsidRDefault="00B10F70" w:rsidP="00A31232">
      <w:pPr>
        <w:ind w:firstLine="0"/>
      </w:pPr>
      <w:r>
        <w:t>2)</w:t>
      </w:r>
      <w:r w:rsidR="00A31232">
        <w:t xml:space="preserve"> Nucleotide sequence database, with entries from GenBank, EMBL and DDBJ, downloaded from </w:t>
      </w:r>
      <w:hyperlink r:id="rId4" w:history="1">
        <w:r w:rsidR="00A31232" w:rsidRPr="0083768E">
          <w:rPr>
            <w:rStyle w:val="Hyperlink"/>
          </w:rPr>
          <w:t>ftp://ftp.ncbi.nlm.nih.gov/blast/db/FASTA/nt.gz</w:t>
        </w:r>
      </w:hyperlink>
    </w:p>
    <w:p w:rsidR="00A31232" w:rsidRDefault="00A31232" w:rsidP="00A31232">
      <w:pPr>
        <w:ind w:firstLine="0"/>
      </w:pPr>
    </w:p>
    <w:p w:rsidR="00A31232" w:rsidRDefault="00B10F70" w:rsidP="00A31232">
      <w:pPr>
        <w:ind w:firstLine="0"/>
      </w:pPr>
      <w:r>
        <w:t>3</w:t>
      </w:r>
      <w:r w:rsidR="00A31232">
        <w:t xml:space="preserve">) Patent nucleotide sequence database, from USPTO and EU/Japan Patent Agency via EMBL/DDBJ, downloaded from </w:t>
      </w:r>
      <w:hyperlink r:id="rId5" w:history="1">
        <w:r w:rsidR="00A31232" w:rsidRPr="0083768E">
          <w:rPr>
            <w:rStyle w:val="Hyperlink"/>
          </w:rPr>
          <w:t>ftp://ftp.ncbi.nlm.nih.gov/blast/db/FASTA/patnt.gz</w:t>
        </w:r>
      </w:hyperlink>
    </w:p>
    <w:p w:rsidR="00B10F70" w:rsidRDefault="00B10F70" w:rsidP="00A31232">
      <w:pPr>
        <w:ind w:firstLine="0"/>
      </w:pPr>
    </w:p>
    <w:p w:rsidR="00C3022C" w:rsidRDefault="003F0A2B" w:rsidP="00A31232">
      <w:pPr>
        <w:ind w:firstLine="0"/>
      </w:pPr>
      <w:r>
        <w:t xml:space="preserve">There are </w:t>
      </w:r>
      <w:r w:rsidRPr="003F0A2B">
        <w:t>53</w:t>
      </w:r>
      <w:r>
        <w:t>,</w:t>
      </w:r>
      <w:r w:rsidRPr="003F0A2B">
        <w:t>485</w:t>
      </w:r>
      <w:r>
        <w:t xml:space="preserve"> probes on the CodeLink array.</w:t>
      </w:r>
      <w:r w:rsidR="00B10F70">
        <w:t xml:space="preserve"> I allowed that probes have at most 2 mismatches and alignment length is at least 28 (out of 30) bp.</w:t>
      </w:r>
      <w:r w:rsidR="002F201A">
        <w:t xml:space="preserve"> </w:t>
      </w:r>
      <w:r w:rsidR="00C3022C">
        <w:t>That is pretty stringent, and we work under assumption that probes do not cross hybridize.</w:t>
      </w:r>
    </w:p>
    <w:p w:rsidR="003F0A2B" w:rsidRDefault="00C3022C" w:rsidP="00A31232">
      <w:pPr>
        <w:ind w:firstLine="0"/>
      </w:pPr>
      <w:r>
        <w:t>Here is the mapping summary;</w:t>
      </w:r>
      <w:r w:rsidR="002F201A">
        <w:t xml:space="preserve"> targets denote how many sequences probes match under the described criteria.</w:t>
      </w:r>
    </w:p>
    <w:p w:rsidR="00A31232" w:rsidRDefault="00A31232" w:rsidP="00A31232">
      <w:pPr>
        <w:ind w:firstLine="0"/>
      </w:pPr>
    </w:p>
    <w:tbl>
      <w:tblPr>
        <w:tblStyle w:val="TableGrid"/>
        <w:tblW w:w="0" w:type="auto"/>
        <w:jc w:val="center"/>
        <w:tblInd w:w="1098" w:type="dxa"/>
        <w:tblLook w:val="00BF"/>
      </w:tblPr>
      <w:tblGrid>
        <w:gridCol w:w="366"/>
        <w:gridCol w:w="1195"/>
        <w:gridCol w:w="1416"/>
        <w:gridCol w:w="1799"/>
        <w:gridCol w:w="989"/>
        <w:gridCol w:w="1012"/>
      </w:tblGrid>
      <w:tr w:rsidR="002F201A">
        <w:trPr>
          <w:jc w:val="center"/>
        </w:trPr>
        <w:tc>
          <w:tcPr>
            <w:tcW w:w="366" w:type="dxa"/>
          </w:tcPr>
          <w:p w:rsidR="002F201A" w:rsidRPr="00A31232" w:rsidRDefault="002F201A" w:rsidP="00A31232">
            <w:pPr>
              <w:ind w:firstLine="0"/>
              <w:rPr>
                <w:b/>
              </w:rPr>
            </w:pPr>
          </w:p>
        </w:tc>
        <w:tc>
          <w:tcPr>
            <w:tcW w:w="1195" w:type="dxa"/>
          </w:tcPr>
          <w:p w:rsidR="002F201A" w:rsidRPr="00A31232" w:rsidRDefault="002F201A" w:rsidP="00A31232">
            <w:pPr>
              <w:ind w:firstLine="0"/>
              <w:rPr>
                <w:b/>
              </w:rPr>
            </w:pPr>
            <w:r w:rsidRPr="00A31232">
              <w:rPr>
                <w:b/>
              </w:rPr>
              <w:t>Database</w:t>
            </w:r>
          </w:p>
        </w:tc>
        <w:tc>
          <w:tcPr>
            <w:tcW w:w="1416" w:type="dxa"/>
          </w:tcPr>
          <w:p w:rsidR="002F201A" w:rsidRPr="00A31232" w:rsidRDefault="002F201A" w:rsidP="00A31232">
            <w:pPr>
              <w:ind w:firstLine="0"/>
              <w:rPr>
                <w:b/>
              </w:rPr>
            </w:pPr>
            <w:r w:rsidRPr="00A31232">
              <w:rPr>
                <w:b/>
              </w:rPr>
              <w:t>Sequences</w:t>
            </w:r>
          </w:p>
        </w:tc>
        <w:tc>
          <w:tcPr>
            <w:tcW w:w="1799" w:type="dxa"/>
          </w:tcPr>
          <w:p w:rsidR="002F201A" w:rsidRPr="00A31232" w:rsidRDefault="002F201A" w:rsidP="00A31232">
            <w:pPr>
              <w:ind w:firstLine="0"/>
              <w:rPr>
                <w:b/>
              </w:rPr>
            </w:pPr>
            <w:r w:rsidRPr="00A31232">
              <w:rPr>
                <w:b/>
              </w:rPr>
              <w:t>Nucleotides</w:t>
            </w:r>
          </w:p>
        </w:tc>
        <w:tc>
          <w:tcPr>
            <w:tcW w:w="989" w:type="dxa"/>
          </w:tcPr>
          <w:p w:rsidR="002F201A" w:rsidRPr="00A31232" w:rsidRDefault="002F201A" w:rsidP="00A31232">
            <w:pPr>
              <w:ind w:firstLine="0"/>
              <w:rPr>
                <w:b/>
              </w:rPr>
            </w:pPr>
            <w:r>
              <w:rPr>
                <w:b/>
              </w:rPr>
              <w:t>Probes</w:t>
            </w:r>
          </w:p>
        </w:tc>
        <w:tc>
          <w:tcPr>
            <w:tcW w:w="1012" w:type="dxa"/>
          </w:tcPr>
          <w:p w:rsidR="002F201A" w:rsidRPr="00A31232" w:rsidRDefault="002F201A" w:rsidP="00A31232">
            <w:pPr>
              <w:ind w:firstLine="0"/>
              <w:rPr>
                <w:b/>
              </w:rPr>
            </w:pPr>
            <w:r>
              <w:rPr>
                <w:b/>
              </w:rPr>
              <w:t>Targets</w:t>
            </w:r>
          </w:p>
        </w:tc>
      </w:tr>
      <w:tr w:rsidR="002F201A">
        <w:trPr>
          <w:jc w:val="center"/>
        </w:trPr>
        <w:tc>
          <w:tcPr>
            <w:tcW w:w="366" w:type="dxa"/>
          </w:tcPr>
          <w:p w:rsidR="002F201A" w:rsidRDefault="002F201A" w:rsidP="00A31232">
            <w:pPr>
              <w:ind w:firstLine="0"/>
            </w:pPr>
            <w:r>
              <w:t>1</w:t>
            </w:r>
          </w:p>
        </w:tc>
        <w:tc>
          <w:tcPr>
            <w:tcW w:w="1195" w:type="dxa"/>
          </w:tcPr>
          <w:p w:rsidR="002F201A" w:rsidRDefault="002F201A" w:rsidP="00A31232">
            <w:pPr>
              <w:ind w:firstLine="0"/>
            </w:pPr>
            <w:r>
              <w:t>RefSeq</w:t>
            </w:r>
          </w:p>
        </w:tc>
        <w:tc>
          <w:tcPr>
            <w:tcW w:w="1416" w:type="dxa"/>
          </w:tcPr>
          <w:p w:rsidR="002F201A" w:rsidRPr="003F0A2B" w:rsidRDefault="002F201A" w:rsidP="003F0A2B">
            <w:pPr>
              <w:ind w:firstLine="0"/>
              <w:jc w:val="right"/>
            </w:pPr>
            <w:r w:rsidRPr="003F0A2B">
              <w:t>30</w:t>
            </w:r>
            <w:r>
              <w:t>,</w:t>
            </w:r>
            <w:r w:rsidRPr="003F0A2B">
              <w:t>037</w:t>
            </w:r>
          </w:p>
        </w:tc>
        <w:tc>
          <w:tcPr>
            <w:tcW w:w="1799" w:type="dxa"/>
          </w:tcPr>
          <w:p w:rsidR="002F201A" w:rsidRPr="003F0A2B" w:rsidRDefault="002F201A" w:rsidP="003F0A2B">
            <w:pPr>
              <w:ind w:firstLine="0"/>
              <w:jc w:val="right"/>
            </w:pPr>
            <w:r w:rsidRPr="003F0A2B">
              <w:t>99</w:t>
            </w:r>
            <w:r>
              <w:t>,</w:t>
            </w:r>
            <w:r w:rsidRPr="003F0A2B">
              <w:t>232</w:t>
            </w:r>
            <w:r>
              <w:t>,</w:t>
            </w:r>
            <w:r w:rsidRPr="003F0A2B">
              <w:t>963</w:t>
            </w:r>
          </w:p>
        </w:tc>
        <w:tc>
          <w:tcPr>
            <w:tcW w:w="989" w:type="dxa"/>
          </w:tcPr>
          <w:p w:rsidR="002F201A" w:rsidRPr="0034539C" w:rsidRDefault="002F201A" w:rsidP="00AE2716">
            <w:pPr>
              <w:ind w:firstLine="0"/>
              <w:jc w:val="right"/>
            </w:pPr>
            <w:r w:rsidRPr="0034539C">
              <w:t>20</w:t>
            </w:r>
            <w:r>
              <w:t>,</w:t>
            </w:r>
            <w:r w:rsidRPr="0034539C">
              <w:t>039</w:t>
            </w:r>
          </w:p>
        </w:tc>
        <w:tc>
          <w:tcPr>
            <w:tcW w:w="1012" w:type="dxa"/>
          </w:tcPr>
          <w:p w:rsidR="002F201A" w:rsidRPr="00F66EFA" w:rsidRDefault="002F201A" w:rsidP="00F66EFA">
            <w:pPr>
              <w:ind w:firstLine="0"/>
              <w:jc w:val="right"/>
            </w:pPr>
            <w:r w:rsidRPr="00F66EFA">
              <w:t>26</w:t>
            </w:r>
            <w:r>
              <w:t>,</w:t>
            </w:r>
            <w:r w:rsidRPr="00F66EFA">
              <w:t>758</w:t>
            </w:r>
          </w:p>
        </w:tc>
      </w:tr>
      <w:tr w:rsidR="002F201A">
        <w:trPr>
          <w:jc w:val="center"/>
        </w:trPr>
        <w:tc>
          <w:tcPr>
            <w:tcW w:w="366" w:type="dxa"/>
          </w:tcPr>
          <w:p w:rsidR="002F201A" w:rsidRDefault="002F201A" w:rsidP="00A31232">
            <w:pPr>
              <w:ind w:firstLine="0"/>
            </w:pPr>
            <w:r>
              <w:t>2</w:t>
            </w:r>
          </w:p>
        </w:tc>
        <w:tc>
          <w:tcPr>
            <w:tcW w:w="1195" w:type="dxa"/>
          </w:tcPr>
          <w:p w:rsidR="002F201A" w:rsidRDefault="00C3022C" w:rsidP="00A31232">
            <w:pPr>
              <w:ind w:firstLine="0"/>
            </w:pPr>
            <w:r>
              <w:t>N</w:t>
            </w:r>
            <w:r w:rsidR="002F201A">
              <w:t>t</w:t>
            </w:r>
          </w:p>
        </w:tc>
        <w:tc>
          <w:tcPr>
            <w:tcW w:w="1416" w:type="dxa"/>
          </w:tcPr>
          <w:p w:rsidR="002F201A" w:rsidRPr="00A31232" w:rsidRDefault="002F201A" w:rsidP="003F0A2B">
            <w:pPr>
              <w:ind w:firstLine="0"/>
              <w:jc w:val="right"/>
            </w:pPr>
            <w:r w:rsidRPr="00A31232">
              <w:t>14</w:t>
            </w:r>
            <w:r>
              <w:t>,</w:t>
            </w:r>
            <w:r w:rsidRPr="00A31232">
              <w:t>470</w:t>
            </w:r>
            <w:r>
              <w:t>,</w:t>
            </w:r>
            <w:r w:rsidRPr="00A31232">
              <w:t>088</w:t>
            </w:r>
          </w:p>
        </w:tc>
        <w:tc>
          <w:tcPr>
            <w:tcW w:w="1799" w:type="dxa"/>
          </w:tcPr>
          <w:p w:rsidR="002F201A" w:rsidRPr="00A31232" w:rsidRDefault="002F201A" w:rsidP="003F0A2B">
            <w:pPr>
              <w:ind w:firstLine="0"/>
              <w:jc w:val="right"/>
            </w:pPr>
            <w:r w:rsidRPr="00A31232">
              <w:t>35</w:t>
            </w:r>
            <w:r>
              <w:t>,</w:t>
            </w:r>
            <w:r w:rsidRPr="00A31232">
              <w:t>009</w:t>
            </w:r>
            <w:r>
              <w:t>,</w:t>
            </w:r>
            <w:r w:rsidRPr="00A31232">
              <w:t>545</w:t>
            </w:r>
            <w:r>
              <w:t>,</w:t>
            </w:r>
            <w:r w:rsidRPr="00A31232">
              <w:t>628</w:t>
            </w:r>
          </w:p>
        </w:tc>
        <w:tc>
          <w:tcPr>
            <w:tcW w:w="989" w:type="dxa"/>
          </w:tcPr>
          <w:p w:rsidR="002F201A" w:rsidRPr="0034539C" w:rsidRDefault="002F201A" w:rsidP="00AE2716">
            <w:pPr>
              <w:ind w:firstLine="0"/>
              <w:jc w:val="right"/>
            </w:pPr>
            <w:r w:rsidRPr="0034539C">
              <w:t>50</w:t>
            </w:r>
            <w:r>
              <w:t>,</w:t>
            </w:r>
            <w:r w:rsidRPr="0034539C">
              <w:t>482</w:t>
            </w:r>
          </w:p>
        </w:tc>
        <w:tc>
          <w:tcPr>
            <w:tcW w:w="1012" w:type="dxa"/>
          </w:tcPr>
          <w:p w:rsidR="002F201A" w:rsidRPr="0034539C" w:rsidRDefault="002F201A" w:rsidP="00F66EFA">
            <w:pPr>
              <w:ind w:firstLine="0"/>
              <w:jc w:val="right"/>
            </w:pPr>
            <w:r w:rsidRPr="0034539C">
              <w:t>412</w:t>
            </w:r>
            <w:r>
              <w:t>,</w:t>
            </w:r>
            <w:r w:rsidRPr="0034539C">
              <w:t>389</w:t>
            </w:r>
          </w:p>
        </w:tc>
      </w:tr>
      <w:tr w:rsidR="002F201A">
        <w:trPr>
          <w:jc w:val="center"/>
        </w:trPr>
        <w:tc>
          <w:tcPr>
            <w:tcW w:w="366" w:type="dxa"/>
          </w:tcPr>
          <w:p w:rsidR="002F201A" w:rsidRDefault="002F201A" w:rsidP="00A31232">
            <w:pPr>
              <w:ind w:firstLine="0"/>
            </w:pPr>
            <w:r>
              <w:t>3</w:t>
            </w:r>
          </w:p>
        </w:tc>
        <w:tc>
          <w:tcPr>
            <w:tcW w:w="1195" w:type="dxa"/>
          </w:tcPr>
          <w:p w:rsidR="002F201A" w:rsidRDefault="00C3022C" w:rsidP="00A31232">
            <w:pPr>
              <w:ind w:firstLine="0"/>
            </w:pPr>
            <w:r>
              <w:t>P</w:t>
            </w:r>
            <w:r w:rsidR="002F201A">
              <w:t>atnt</w:t>
            </w:r>
          </w:p>
        </w:tc>
        <w:tc>
          <w:tcPr>
            <w:tcW w:w="1416" w:type="dxa"/>
          </w:tcPr>
          <w:p w:rsidR="002F201A" w:rsidRPr="00A31232" w:rsidRDefault="002F201A" w:rsidP="003F0A2B">
            <w:pPr>
              <w:ind w:firstLine="0"/>
              <w:jc w:val="right"/>
            </w:pPr>
            <w:r w:rsidRPr="00A31232">
              <w:t>19</w:t>
            </w:r>
            <w:r>
              <w:t>,</w:t>
            </w:r>
            <w:r w:rsidRPr="00A31232">
              <w:t>085</w:t>
            </w:r>
            <w:r>
              <w:t>,</w:t>
            </w:r>
            <w:r w:rsidRPr="00A31232">
              <w:t>735</w:t>
            </w:r>
          </w:p>
        </w:tc>
        <w:tc>
          <w:tcPr>
            <w:tcW w:w="1799" w:type="dxa"/>
          </w:tcPr>
          <w:p w:rsidR="002F201A" w:rsidRDefault="002F201A" w:rsidP="003F0A2B">
            <w:pPr>
              <w:ind w:firstLine="0"/>
              <w:jc w:val="right"/>
            </w:pPr>
            <w:r w:rsidRPr="00A31232">
              <w:t>10</w:t>
            </w:r>
            <w:r>
              <w:t>,</w:t>
            </w:r>
            <w:r w:rsidRPr="00A31232">
              <w:t>090</w:t>
            </w:r>
            <w:r>
              <w:t>,</w:t>
            </w:r>
            <w:r w:rsidRPr="00A31232">
              <w:t>389</w:t>
            </w:r>
            <w:r>
              <w:t>,</w:t>
            </w:r>
            <w:r w:rsidRPr="00A31232">
              <w:t>286</w:t>
            </w:r>
          </w:p>
        </w:tc>
        <w:tc>
          <w:tcPr>
            <w:tcW w:w="989" w:type="dxa"/>
          </w:tcPr>
          <w:p w:rsidR="002F201A" w:rsidRPr="0034539C" w:rsidRDefault="002F201A" w:rsidP="00AE2716">
            <w:pPr>
              <w:ind w:firstLine="0"/>
              <w:jc w:val="right"/>
            </w:pPr>
            <w:r w:rsidRPr="0034539C">
              <w:t>42</w:t>
            </w:r>
            <w:r>
              <w:t>,</w:t>
            </w:r>
            <w:r w:rsidRPr="0034539C">
              <w:t>435</w:t>
            </w:r>
          </w:p>
        </w:tc>
        <w:tc>
          <w:tcPr>
            <w:tcW w:w="1012" w:type="dxa"/>
          </w:tcPr>
          <w:p w:rsidR="002F201A" w:rsidRPr="0034539C" w:rsidRDefault="002F201A" w:rsidP="00F66EFA">
            <w:pPr>
              <w:ind w:firstLine="0"/>
              <w:jc w:val="right"/>
            </w:pPr>
            <w:r w:rsidRPr="0034539C">
              <w:t>709</w:t>
            </w:r>
            <w:r>
              <w:t>,</w:t>
            </w:r>
            <w:r w:rsidRPr="0034539C">
              <w:t>675</w:t>
            </w:r>
          </w:p>
        </w:tc>
      </w:tr>
    </w:tbl>
    <w:p w:rsidR="002F201A" w:rsidRDefault="002F201A" w:rsidP="00A31232">
      <w:pPr>
        <w:ind w:firstLine="0"/>
      </w:pPr>
    </w:p>
    <w:p w:rsidR="005625B6" w:rsidRDefault="005625B6" w:rsidP="00A31232">
      <w:pPr>
        <w:ind w:firstLine="0"/>
      </w:pPr>
      <w:r>
        <w:t>The mapping details are provided in taxID_CodeLink_map_results.xls. The columns are:</w:t>
      </w:r>
    </w:p>
    <w:p w:rsidR="00C3022C" w:rsidRDefault="005625B6" w:rsidP="00A31232">
      <w:pPr>
        <w:ind w:firstLine="0"/>
      </w:pPr>
      <w:r>
        <w:t>ProbeID, RefSeq hits, nt hits, patnt hits, taxa of nt hits, taxa of patnt hits.</w:t>
      </w:r>
    </w:p>
    <w:p w:rsidR="00C3022C" w:rsidRDefault="00C3022C" w:rsidP="00A31232">
      <w:pPr>
        <w:ind w:firstLine="0"/>
      </w:pPr>
      <w:r>
        <w:t>The good news is that with exception with few E. Coli probes (most likely controls), all probes are human specific and it is pretty unlikely that they would be picking RNA from bacteria.</w:t>
      </w:r>
    </w:p>
    <w:p w:rsidR="00C3022C" w:rsidRDefault="00C3022C" w:rsidP="00A31232">
      <w:pPr>
        <w:ind w:firstLine="0"/>
      </w:pPr>
      <w:r>
        <w:t xml:space="preserve">I suggest you use this mapping table in data interpretation. </w:t>
      </w:r>
    </w:p>
    <w:p w:rsidR="00A31232" w:rsidRDefault="00C3022C" w:rsidP="00A31232">
      <w:pPr>
        <w:ind w:firstLine="0"/>
      </w:pPr>
      <w:r>
        <w:t>Now I can finish the mRNA-seq mapping.</w:t>
      </w:r>
      <w:r w:rsidR="009A7336">
        <w:t xml:space="preserve"> </w:t>
      </w:r>
    </w:p>
    <w:sectPr w:rsidR="00A31232" w:rsidSect="00A312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1232"/>
    <w:rsid w:val="00014F79"/>
    <w:rsid w:val="0008159F"/>
    <w:rsid w:val="00293668"/>
    <w:rsid w:val="002F201A"/>
    <w:rsid w:val="0034539C"/>
    <w:rsid w:val="003A31E7"/>
    <w:rsid w:val="003F0A2B"/>
    <w:rsid w:val="005625B6"/>
    <w:rsid w:val="006C1A19"/>
    <w:rsid w:val="009A7336"/>
    <w:rsid w:val="00A31232"/>
    <w:rsid w:val="00AE2716"/>
    <w:rsid w:val="00B10F70"/>
    <w:rsid w:val="00BF56D9"/>
    <w:rsid w:val="00C3022C"/>
    <w:rsid w:val="00DB67D5"/>
    <w:rsid w:val="00DC75B8"/>
    <w:rsid w:val="00EB4637"/>
    <w:rsid w:val="00F66EFA"/>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092"/>
    <w:pPr>
      <w:spacing w:before="60" w:after="60"/>
      <w:ind w:firstLine="360"/>
    </w:pPr>
    <w:rPr>
      <w:rFonts w:ascii="Arial" w:hAnsi="Arial"/>
      <w:sz w:val="22"/>
    </w:rPr>
  </w:style>
  <w:style w:type="paragraph" w:styleId="Heading1">
    <w:name w:val="heading 1"/>
    <w:basedOn w:val="Normal"/>
    <w:next w:val="Normal"/>
    <w:link w:val="Heading1Char"/>
    <w:autoRedefine/>
    <w:uiPriority w:val="9"/>
    <w:qFormat/>
    <w:rsid w:val="003A5092"/>
    <w:pPr>
      <w:keepNext/>
      <w:spacing w:before="240"/>
      <w:ind w:firstLine="0"/>
      <w:outlineLvl w:val="0"/>
    </w:pPr>
    <w:rPr>
      <w:rFonts w:eastAsiaTheme="majorEastAsia" w:cstheme="majorBidi"/>
      <w:b/>
      <w:bCs/>
      <w:kern w:val="32"/>
      <w:sz w:val="28"/>
      <w:szCs w:val="32"/>
    </w:rPr>
  </w:style>
  <w:style w:type="paragraph" w:styleId="Heading2">
    <w:name w:val="heading 2"/>
    <w:basedOn w:val="Normal"/>
    <w:next w:val="Normal"/>
    <w:link w:val="Heading2Char"/>
    <w:autoRedefine/>
    <w:uiPriority w:val="9"/>
    <w:semiHidden/>
    <w:unhideWhenUsed/>
    <w:qFormat/>
    <w:rsid w:val="003A5092"/>
    <w:pPr>
      <w:keepNext/>
      <w:spacing w:before="240"/>
      <w:ind w:firstLine="0"/>
      <w:outlineLvl w:val="1"/>
    </w:pPr>
    <w:rPr>
      <w:rFonts w:eastAsiaTheme="majorEastAsia" w:cstheme="majorBidi"/>
      <w:b/>
      <w:bCs/>
      <w:i/>
      <w:iCs/>
      <w:sz w:val="24"/>
      <w:szCs w:val="28"/>
    </w:rPr>
  </w:style>
  <w:style w:type="paragraph" w:styleId="Heading3">
    <w:name w:val="heading 3"/>
    <w:basedOn w:val="Normal"/>
    <w:next w:val="Normal"/>
    <w:link w:val="Heading3Char"/>
    <w:autoRedefine/>
    <w:uiPriority w:val="9"/>
    <w:unhideWhenUsed/>
    <w:qFormat/>
    <w:rsid w:val="003A5092"/>
    <w:pPr>
      <w:keepNext/>
      <w:spacing w:before="180" w:after="120"/>
      <w:ind w:firstLine="0"/>
      <w:outlineLvl w:val="2"/>
    </w:pPr>
    <w:rPr>
      <w:rFonts w:eastAsiaTheme="majorEastAsia"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3A5092"/>
    <w:rPr>
      <w:rFonts w:ascii="Arial" w:eastAsiaTheme="majorEastAsia" w:hAnsi="Arial" w:cstheme="majorBidi"/>
      <w:b/>
      <w:bCs/>
      <w:sz w:val="22"/>
      <w:szCs w:val="26"/>
    </w:rPr>
  </w:style>
  <w:style w:type="character" w:customStyle="1" w:styleId="Heading2Char">
    <w:name w:val="Heading 2 Char"/>
    <w:basedOn w:val="DefaultParagraphFont"/>
    <w:link w:val="Heading2"/>
    <w:uiPriority w:val="9"/>
    <w:semiHidden/>
    <w:rsid w:val="003A5092"/>
    <w:rPr>
      <w:rFonts w:ascii="Arial" w:eastAsiaTheme="majorEastAsia" w:hAnsi="Arial" w:cstheme="majorBidi"/>
      <w:b/>
      <w:bCs/>
      <w:i/>
      <w:iCs/>
      <w:sz w:val="24"/>
      <w:szCs w:val="28"/>
    </w:rPr>
  </w:style>
  <w:style w:type="character" w:customStyle="1" w:styleId="Heading1Char">
    <w:name w:val="Heading 1 Char"/>
    <w:basedOn w:val="DefaultParagraphFont"/>
    <w:link w:val="Heading1"/>
    <w:uiPriority w:val="9"/>
    <w:rsid w:val="003A5092"/>
    <w:rPr>
      <w:rFonts w:ascii="Arial" w:eastAsiaTheme="majorEastAsia" w:hAnsi="Arial" w:cstheme="majorBidi"/>
      <w:b/>
      <w:bCs/>
      <w:kern w:val="32"/>
      <w:sz w:val="28"/>
      <w:szCs w:val="32"/>
    </w:rPr>
  </w:style>
  <w:style w:type="paragraph" w:customStyle="1" w:styleId="Instructions">
    <w:name w:val="Instructions"/>
    <w:basedOn w:val="Normal"/>
    <w:autoRedefine/>
    <w:qFormat/>
    <w:rsid w:val="003A5092"/>
    <w:pPr>
      <w:widowControl w:val="0"/>
      <w:autoSpaceDE w:val="0"/>
      <w:autoSpaceDN w:val="0"/>
      <w:adjustRightInd w:val="0"/>
      <w:spacing w:before="0" w:after="0"/>
      <w:ind w:firstLine="0"/>
      <w:jc w:val="both"/>
    </w:pPr>
    <w:rPr>
      <w:rFonts w:eastAsia="Cambria" w:cs="TimesNewRomanPSMT"/>
      <w:color w:val="3366FF"/>
      <w:sz w:val="20"/>
      <w:szCs w:val="22"/>
    </w:rPr>
  </w:style>
  <w:style w:type="paragraph" w:styleId="HTMLPreformatted">
    <w:name w:val="HTML Preformatted"/>
    <w:basedOn w:val="Normal"/>
    <w:link w:val="HTMLPreformattedChar"/>
    <w:uiPriority w:val="99"/>
    <w:rsid w:val="00A3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31232"/>
    <w:rPr>
      <w:rFonts w:ascii="Courier" w:hAnsi="Courier" w:cs="Courier"/>
      <w:sz w:val="20"/>
      <w:szCs w:val="20"/>
    </w:rPr>
  </w:style>
  <w:style w:type="character" w:styleId="Hyperlink">
    <w:name w:val="Hyperlink"/>
    <w:basedOn w:val="DefaultParagraphFont"/>
    <w:uiPriority w:val="99"/>
    <w:semiHidden/>
    <w:unhideWhenUsed/>
    <w:rsid w:val="00A31232"/>
    <w:rPr>
      <w:color w:val="0000FF" w:themeColor="hyperlink"/>
      <w:u w:val="single"/>
    </w:rPr>
  </w:style>
  <w:style w:type="table" w:styleId="TableGrid">
    <w:name w:val="Table Grid"/>
    <w:basedOn w:val="TableNormal"/>
    <w:uiPriority w:val="59"/>
    <w:rsid w:val="00A31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2078283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ftp://ftp.ncbi.nlm.nih.gov/blast/db/FASTA/nt.gz" TargetMode="External"/><Relationship Id="rId5" Type="http://schemas.openxmlformats.org/officeDocument/2006/relationships/hyperlink" Target="ftp://ftp.ncbi.nlm.nih.gov/blast/db/FASTA/patnt.gz"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1476</Characters>
  <Application>Microsoft Macintosh Word</Application>
  <DocSecurity>0</DocSecurity>
  <Lines>12</Lines>
  <Paragraphs>2</Paragraphs>
  <ScaleCrop>false</ScaleCrop>
  <Company>UAMS</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Herman</dc:creator>
  <cp:keywords/>
  <cp:lastModifiedBy>Scott Schwartz</cp:lastModifiedBy>
  <cp:revision>4</cp:revision>
  <dcterms:created xsi:type="dcterms:W3CDTF">2011-01-06T20:14:00Z</dcterms:created>
  <dcterms:modified xsi:type="dcterms:W3CDTF">2011-02-16T01:28:00Z</dcterms:modified>
</cp:coreProperties>
</file>