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Federated Predictive Threat Intelligence for Cross-Jurisdictional Fusion Centers</w:t>
      </w:r>
    </w:p>
    <w:p>
      <w:pPr>
        <w:spacing w:after="360"/>
        <w:jc w:val="center"/>
      </w:pPr>
      <w:r>
        <w:rPr>
          <w:i/>
          <w:iCs/>
          <w:sz w:val="24"/>
          <w:szCs w:val="24"/>
        </w:rPr>
        <w:t xml:space="preserve">Project Outline and Experiment Design</w:t>
      </w:r>
    </w:p>
    <w:p>
      <w:pPr>
        <w:pStyle w:val="Heading1"/>
      </w:pPr>
      <w:r>
        <w:t xml:space="preserve">1. Introduction and Motivation</w:t>
      </w:r>
    </w:p>
    <w:p>
      <w:pPr>
        <w:spacing w:after="120"/>
      </w:pPr>
      <w:r>
        <w:t xml:space="preserve">Law enforcement agencies and fusion centers increasingly depend on cross-jurisdictional collaboration to investigate complex, multi-agency crimes, yet existing frameworks require the direct transfer of confidential investigative data — a practice constrained by jurisdictional boundaries, legal non-disclosure obligations, and chain-of-custody requirements. As a result, agencies operate in forensic silos, limiting the collective intelligence that could otherwise be derived from distributed evidence pools.</w:t>
      </w:r>
    </w:p>
    <w:p>
      <w:pPr>
        <w:spacing w:after="120"/>
      </w:pPr>
      <w:r>
        <w:t xml:space="preserve">This project proposes a Federated Learning (FL) framework tailored to the fusion center environment, where participating agencies collaboratively train a shared predictive threat intelligence model by exchanging only model updates rather than raw investigative data. The framework shifts the unit of collaboration from dataset transfer to gradient exchange, preserving data sovereignty and reducing legal overhead while enabling each agency's local model to benefit from patterns learned across the broader network.</w:t>
      </w:r>
    </w:p>
    <w:p>
      <w:pPr>
        <w:pStyle w:val="Heading2"/>
      </w:pPr>
      <w:r>
        <w:t xml:space="preserve">1.1 Problem Statement</w:t>
      </w:r>
    </w:p>
    <w:p>
      <w:pPr>
        <w:spacing w:after="120"/>
      </w:pPr>
      <w:r>
        <w:t xml:space="preserve">Fusion centers and law enforcement agencies operate within strict jurisdictional boundaries that prohibit the direct sharing of confidential investigative data, even when cross-agency collaboration would yield stronger forensic intelligence. Current approaches either pool data at significant legal and operational cost, or leave agencies to operate in isolation — producing siloed intelligence that no single agency can fully contextualize on its own.</w:t>
      </w:r>
    </w:p>
    <w:p>
      <w:pPr>
        <w:pStyle w:val="Heading2"/>
      </w:pPr>
      <w:r>
        <w:t xml:space="preserve">1.2 Solution Statement</w:t>
      </w:r>
    </w:p>
    <w:p>
      <w:pPr>
        <w:spacing w:after="120"/>
      </w:pPr>
      <w:r>
        <w:t xml:space="preserve">This work proposes a Federated Learning framework for fusion center environments where participating agencies collaboratively train a shared forensic intelligence model by exchanging only model updates rather than raw investigative data. By shifting the unit of collaboration from dataset transfer to gradient exchange, the system preserves data sovereignty, satisfies jurisdictional constraints, and reduces legal overhead — while enabling each agency's local model to benefit from patterns learned across the broader network.</w:t>
      </w:r>
    </w:p>
    <w:p>
      <w:pPr>
        <w:pStyle w:val="Heading2"/>
      </w:pPr>
      <w:r>
        <w:t xml:space="preserve">1.3 Thesis Statement</w:t>
      </w:r>
    </w:p>
    <w:p>
      <w:pPr>
        <w:spacing w:after="120"/>
      </w:pPr>
      <w:r>
        <w:t xml:space="preserve">Federated Learning can serve as a legally compliant and operationally viable mechanism for cross-jurisdictional forensic collaboration, enabling fusion centers to develop collective threat intelligence from confidential, jurisdiction-bound data without compromising data privacy, chain of custody, or inter-agency trust.</w:t>
      </w:r>
    </w:p>
    <w:p>
      <w:pPr>
        <w:pStyle w:val="Heading2"/>
      </w:pPr>
      <w:r>
        <w:t xml:space="preserve">1.4 Target Use Cases</w:t>
      </w:r>
    </w:p>
    <w:p>
      <w:pPr>
        <w:spacing w:after="120"/>
      </w:pPr>
      <w:r>
        <w:t xml:space="preserve">The federated model is designed to support strategic intelligence tasks that no single agency has full visibility into:</w:t>
      </w:r>
    </w:p>
    <w:p>
      <w:pPr>
        <w:pStyle w:val="ListParagraph"/>
        <w:numPr>
          <w:ilvl w:val="0"/>
          <w:numId w:val="2"/>
        </w:numPr>
        <w:spacing w:after="80"/>
      </w:pPr>
      <w:r>
        <w:t xml:space="preserve">Predicting crime escalation across jurisdictions</w:t>
      </w:r>
    </w:p>
    <w:p>
      <w:pPr>
        <w:pStyle w:val="ListParagraph"/>
        <w:numPr>
          <w:ilvl w:val="0"/>
          <w:numId w:val="2"/>
        </w:numPr>
        <w:spacing w:after="80"/>
      </w:pPr>
      <w:r>
        <w:t xml:space="preserve">Identifying human trafficking patterns spanning multiple regions</w:t>
      </w:r>
    </w:p>
    <w:p>
      <w:pPr>
        <w:pStyle w:val="ListParagraph"/>
        <w:numPr>
          <w:ilvl w:val="0"/>
          <w:numId w:val="2"/>
        </w:numPr>
        <w:spacing w:after="80"/>
      </w:pPr>
      <w:r>
        <w:t xml:space="preserve">Flagging organized criminal activity that crosses agency boundaries</w:t>
      </w:r>
    </w:p>
    <w:p>
      <w:pPr>
        <w:pStyle w:val="ListParagraph"/>
        <w:numPr>
          <w:ilvl w:val="0"/>
          <w:numId w:val="2"/>
        </w:numPr>
        <w:spacing w:after="80"/>
      </w:pPr>
      <w:r>
        <w:t xml:space="preserve">Supporting cross-jurisdictional investigations and evidence artifact classification</w:t>
      </w:r>
    </w:p>
    <w:p>
      <w:pPr>
        <w:pStyle w:val="Heading1"/>
      </w:pPr>
      <w:r>
        <w:t xml:space="preserve">2. Related Work</w:t>
      </w:r>
    </w:p>
    <w:p>
      <w:pPr>
        <w:spacing w:after="120"/>
      </w:pPr>
      <w:r>
        <w:t xml:space="preserve">The related work section will acknowledge three threads that this project builds on and differentiates from:</w:t>
      </w:r>
    </w:p>
    <w:p>
      <w:pPr>
        <w:pStyle w:val="ListParagraph"/>
        <w:numPr>
          <w:ilvl w:val="0"/>
          <w:numId w:val="2"/>
        </w:numPr>
        <w:spacing w:after="80"/>
      </w:pPr>
      <w:r>
        <w:rPr>
          <w:b/>
          <w:bCs/>
        </w:rPr>
        <w:t xml:space="preserve">Edge and IoT Federated Learning — </w:t>
      </w:r>
      <w:r>
        <w:t xml:space="preserve">foundational FL literature (FedAvg, FedProx) motivated primarily by resource constraints. This project departs from that framing by operating in a data-rich, policy-constrained environment.</w:t>
      </w:r>
    </w:p>
    <w:p>
      <w:pPr>
        <w:pStyle w:val="ListParagraph"/>
        <w:numPr>
          <w:ilvl w:val="0"/>
          <w:numId w:val="2"/>
        </w:numPr>
        <w:spacing w:after="80"/>
      </w:pPr>
      <w:r>
        <w:rPr>
          <w:b/>
          <w:bCs/>
        </w:rPr>
        <w:t xml:space="preserve">Privacy-preserving forensic ML — </w:t>
      </w:r>
      <w:r>
        <w:t xml:space="preserve">record linkage, entity resolution, and forensic artifact classification research that shares the privacy motivation but has not widely adopted federation as the mechanism.</w:t>
      </w:r>
    </w:p>
    <w:p>
      <w:pPr>
        <w:pStyle w:val="ListParagraph"/>
        <w:numPr>
          <w:ilvl w:val="0"/>
          <w:numId w:val="2"/>
        </w:numPr>
        <w:spacing w:after="80"/>
      </w:pPr>
      <w:r>
        <w:rPr>
          <w:b/>
          <w:bCs/>
        </w:rPr>
        <w:t xml:space="preserve">Prior related work (NetSpider) — </w:t>
      </w:r>
      <w:r>
        <w:t xml:space="preserve">a previously developed threat model built from web-scraped intelligence. This project shifts that same conceptual approach from open-source data to legally siloed, multi-agency operational intelligence, with federation addressing the trust barriers that make pooling otherwise impossible.</w:t>
      </w:r>
    </w:p>
    <w:p>
      <w:pPr>
        <w:pStyle w:val="Heading1"/>
      </w:pPr>
      <w:r>
        <w:t xml:space="preserve">3. Contributions</w:t>
      </w:r>
    </w:p>
    <w:p>
      <w:pPr>
        <w:spacing w:after="120"/>
      </w:pPr>
      <w:r>
        <w:t xml:space="preserve">This project will make the following contributions:</w:t>
      </w:r>
    </w:p>
    <w:p>
      <w:pPr>
        <w:pStyle w:val="ListParagraph"/>
        <w:numPr>
          <w:ilvl w:val="0"/>
          <w:numId w:val="3"/>
        </w:numPr>
        <w:spacing w:after="80"/>
      </w:pPr>
      <w:r>
        <w:t xml:space="preserve">Reframing of Federated Learning from resource-constrained edge environments to policy-constrained jurisdictional settings, with accompanying problem formulation and threat model.</w:t>
      </w:r>
    </w:p>
    <w:p>
      <w:pPr>
        <w:pStyle w:val="ListParagraph"/>
        <w:numPr>
          <w:ilvl w:val="0"/>
          <w:numId w:val="3"/>
        </w:numPr>
        <w:spacing w:after="80"/>
      </w:pPr>
      <w:r>
        <w:t xml:space="preserve">A multi-task federated model that jointly performs threat category classification and escalation risk scoring from structured incident data.</w:t>
      </w:r>
    </w:p>
    <w:p>
      <w:pPr>
        <w:pStyle w:val="ListParagraph"/>
        <w:numPr>
          <w:ilvl w:val="0"/>
          <w:numId w:val="3"/>
        </w:numPr>
        <w:spacing w:after="80"/>
      </w:pPr>
      <w:r>
        <w:t xml:space="preserve">Empirical comparison of federated versus centralized performance on non-IID, geographically partitioned data simulating realistic fusion center heterogeneity.</w:t>
      </w:r>
    </w:p>
    <w:p>
      <w:pPr>
        <w:pStyle w:val="ListParagraph"/>
        <w:numPr>
          <w:ilvl w:val="0"/>
          <w:numId w:val="3"/>
        </w:numPr>
        <w:spacing w:after="80"/>
      </w:pPr>
      <w:r>
        <w:t xml:space="preserve">An end-to-end reproducible pipeline — from data preprocessing and partitioning through federated training and evaluation — built on Chameleon Cloud infrastructure.</w:t>
      </w:r>
    </w:p>
    <w:p>
      <w:pPr>
        <w:pStyle w:val="Heading1"/>
      </w:pPr>
      <w:r>
        <w:t xml:space="preserve">4. System Design</w:t>
      </w:r>
    </w:p>
    <w:p>
      <w:pPr>
        <w:pStyle w:val="Heading2"/>
      </w:pPr>
      <w:r>
        <w:t xml:space="preserve">4.1 Federation Architecture</w:t>
      </w:r>
    </w:p>
    <w:p>
      <w:pPr>
        <w:spacing w:after="120"/>
      </w:pPr>
      <w:r>
        <w:t xml:space="preserve">The system implements a flat (single-tier) federation with one central aggregator and N agency client nodes. No hierarchical federation is used in this iteration — the scope is intentionally kept to a basic federation framework to maintain focus on the core comparison.</w:t>
      </w:r>
    </w:p>
    <w:p>
      <w:pPr>
        <w:pStyle w:val="ListParagraph"/>
        <w:numPr>
          <w:ilvl w:val="0"/>
          <w:numId w:val="2"/>
        </w:numPr>
        <w:spacing w:after="80"/>
      </w:pPr>
      <w:r>
        <w:rPr>
          <w:b/>
          <w:bCs/>
        </w:rPr>
        <w:t xml:space="preserve">Clients: </w:t>
      </w:r>
      <w:r>
        <w:t xml:space="preserve">N simulated agency nodes, each holding a private partition of the dataset. Clients train locally and transmit model updates only.</w:t>
      </w:r>
    </w:p>
    <w:p>
      <w:pPr>
        <w:pStyle w:val="ListParagraph"/>
        <w:numPr>
          <w:ilvl w:val="0"/>
          <w:numId w:val="2"/>
        </w:numPr>
        <w:spacing w:after="80"/>
      </w:pPr>
      <w:r>
        <w:rPr>
          <w:b/>
          <w:bCs/>
        </w:rPr>
        <w:t xml:space="preserve">Aggregator: </w:t>
      </w:r>
      <w:r>
        <w:t xml:space="preserve">central server implementing FedAvg (baseline) and FedProx (non-IID variant). Receives client updates, aggregates, and broadcasts the updated global model.</w:t>
      </w:r>
    </w:p>
    <w:p>
      <w:pPr>
        <w:pStyle w:val="ListParagraph"/>
        <w:numPr>
          <w:ilvl w:val="0"/>
          <w:numId w:val="2"/>
        </w:numPr>
        <w:spacing w:after="80"/>
      </w:pPr>
      <w:r>
        <w:rPr>
          <w:b/>
          <w:bCs/>
        </w:rPr>
        <w:t xml:space="preserve">Communication: </w:t>
      </w:r>
      <w:r>
        <w:t xml:space="preserve">synchronous rounds. Each round consists of local training, update transmission, aggregation, and global model redistribution.</w:t>
      </w:r>
    </w:p>
    <w:p>
      <w:pPr>
        <w:pStyle w:val="Heading2"/>
      </w:pPr>
      <w:r>
        <w:t xml:space="preserve">4.2 Model Architecture — Multi-Task MLP</w:t>
      </w:r>
    </w:p>
    <w:p>
      <w:pPr>
        <w:spacing w:after="120"/>
      </w:pPr>
      <w:r>
        <w:t xml:space="preserve">A Multi-Layer Perceptron (MLP) with a shared trunk and two task-specific heads. The shared trunk lets both tasks benefit from a common feature representation, while the two heads produce task-specific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rPr>
              <w:t xml:space="preserve">Component</w:t>
            </w:r>
          </w:p>
        </w:tc>
        <w:tc>
          <w:tcPr>
            <w:tcW w:type="dxa" w:w="312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rPr>
              <w:t xml:space="preserve">Configuration</w:t>
            </w:r>
          </w:p>
        </w:tc>
        <w:tc>
          <w:tcPr>
            <w:tcW w:type="dxa" w:w="312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rPr>
              <w:t xml:space="preserve">Purpose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Shared trunk</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3 fully-connected layers (128 → 64 → 32) with ReLU, dropout, batch norm</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Learns a joint feature representation across both tasks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Classification head</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Dense layer → softmax over threat categories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Predicts dominant threat category</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Escalation head</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Dense layer → sigmoid (output in [0,1])</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Predicts escalation risk score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Joint loss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 = α · CrossEntropy + β · BCE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Weighted combination of both task losses, α and β tuned as hyperparameters</w:t>
            </w:r>
          </w:p>
        </w:tc>
      </w:tr>
    </w:tbl>
    <w:p>
      <w:pPr>
        <w:spacing w:after="120"/>
      </w:pPr>
      <w:r>
        <w:t xml:space="preserve"/>
      </w:r>
    </w:p>
    <w:p>
      <w:pPr>
        <w:pStyle w:val="Heading2"/>
      </w:pPr>
      <w:r>
        <w:t xml:space="preserve">4.3 Infrastructure and Framework</w:t>
      </w:r>
    </w:p>
    <w:p>
      <w:pPr>
        <w:pStyle w:val="ListParagraph"/>
        <w:numPr>
          <w:ilvl w:val="0"/>
          <w:numId w:val="2"/>
        </w:numPr>
        <w:spacing w:after="80"/>
      </w:pPr>
      <w:r>
        <w:rPr>
          <w:b/>
          <w:bCs/>
        </w:rPr>
        <w:t xml:space="preserve">Platform: </w:t>
      </w:r>
      <w:r>
        <w:t xml:space="preserve">Chameleon Cloud for simulated multi-node deployment.</w:t>
      </w:r>
    </w:p>
    <w:p>
      <w:pPr>
        <w:pStyle w:val="ListParagraph"/>
        <w:numPr>
          <w:ilvl w:val="0"/>
          <w:numId w:val="2"/>
        </w:numPr>
        <w:spacing w:after="80"/>
      </w:pPr>
      <w:r>
        <w:rPr>
          <w:b/>
          <w:bCs/>
        </w:rPr>
        <w:t xml:space="preserve">FL framework: </w:t>
      </w:r>
      <w:r>
        <w:t xml:space="preserve">Flower (flwr) for federation orchestration. Chosen for low friction, strong documentation, and Chameleon compatibility.</w:t>
      </w:r>
    </w:p>
    <w:p>
      <w:pPr>
        <w:pStyle w:val="ListParagraph"/>
        <w:numPr>
          <w:ilvl w:val="0"/>
          <w:numId w:val="2"/>
        </w:numPr>
        <w:spacing w:after="80"/>
      </w:pPr>
      <w:r>
        <w:rPr>
          <w:b/>
          <w:bCs/>
        </w:rPr>
        <w:t xml:space="preserve">ML backend: </w:t>
      </w:r>
      <w:r>
        <w:t xml:space="preserve">PyTorch for model definition and local training loops.</w:t>
      </w:r>
    </w:p>
    <w:p>
      <w:pPr>
        <w:pStyle w:val="Heading1"/>
      </w:pPr>
      <w:r>
        <w:t xml:space="preserve">5. Dataset</w:t>
      </w:r>
    </w:p>
    <w:p>
      <w:pPr>
        <w:pStyle w:val="Heading2"/>
      </w:pPr>
      <w:r>
        <w:t xml:space="preserve">5.1 Primary Dataset — UCI Communities and Crime (Unnormalized)</w:t>
      </w:r>
    </w:p>
    <w:p>
      <w:pPr>
        <w:spacing w:after="120"/>
      </w:pPr>
      <w:r>
        <w:t xml:space="preserve">The primary dataset is the UCI Communities and Crime (Unnormalized) dataset, which combines socio-economic data from the 1990 US Census, law enforcement data from the 1990 LEMAS survey, and crime data from the 1995 FBI UCR. It covers approximately 2,000 US communities with 125 features and 18 crime variables.</w:t>
      </w:r>
    </w:p>
    <w:p>
      <w:pPr>
        <w:spacing w:after="120"/>
      </w:pPr>
      <w:r>
        <w:rPr>
          <w:b/>
          <w:bCs/>
        </w:rPr>
        <w:t xml:space="preserve">Source: </w:t>
      </w:r>
      <w:r>
        <w:t xml:space="preserve">https://archive.ics.uci.edu/ml/datasets/communities+and+crime+unnormalized</w:t>
      </w:r>
    </w:p>
    <w:p>
      <w:pPr>
        <w:spacing w:after="120"/>
      </w:pPr>
      <w:r>
        <w:rPr>
          <w:b/>
          <w:bCs/>
        </w:rPr>
        <w:t xml:space="preserve">License: </w:t>
      </w:r>
      <w:r>
        <w:t xml:space="preserve">CC BY 4.0</w:t>
      </w:r>
    </w:p>
    <w:p>
      <w:pPr>
        <w:spacing w:after="120"/>
      </w:pPr>
      <w:r>
        <w:rPr>
          <w:b/>
          <w:bCs/>
        </w:rPr>
        <w:t xml:space="preserve">Rationale: </w:t>
      </w:r>
      <w:r>
        <w:t xml:space="preserve">Compact, well-documented, natural partitioning by state, and rich enough to derive both a classification label and a continuous escalation score. The unnormalized version preserves the 18 raw crime variables necessary for label construction.</w:t>
      </w:r>
    </w:p>
    <w:p>
      <w:pPr>
        <w:pStyle w:val="Heading2"/>
      </w:pPr>
      <w:r>
        <w:t xml:space="preserve">5.2 Secondary Dataset (Optional Extension) — FBI NIBRS</w:t>
      </w:r>
    </w:p>
    <w:p>
      <w:pPr>
        <w:spacing w:after="120"/>
      </w:pPr>
      <w:r>
        <w:t xml:space="preserve">As an optional extension if project scope allows, the FBI National Incident-Based Reporting System (NIBRS) provides true incident-level data with offense, location, victim, offender, and arrestee details. NIBRS strengthens the realism of the fusion center scenario but carries significant data engineering overhead (13-segment file structure, uneven agency participation, state-by-state quality variation).</w:t>
      </w:r>
    </w:p>
    <w:p>
      <w:pPr>
        <w:spacing w:after="120"/>
      </w:pPr>
      <w:r>
        <w:rPr>
          <w:b/>
          <w:bCs/>
        </w:rPr>
        <w:t xml:space="preserve">Sources:</w:t>
      </w:r>
    </w:p>
    <w:p>
      <w:pPr>
        <w:pStyle w:val="ListParagraph"/>
        <w:numPr>
          <w:ilvl w:val="0"/>
          <w:numId w:val="2"/>
        </w:numPr>
        <w:spacing w:after="80"/>
      </w:pPr>
      <w:r>
        <w:t xml:space="preserve">FBI Crime Data Explorer: https://cde.ucr.cjis.gov/</w:t>
      </w:r>
    </w:p>
    <w:p>
      <w:pPr>
        <w:pStyle w:val="ListParagraph"/>
        <w:numPr>
          <w:ilvl w:val="0"/>
          <w:numId w:val="2"/>
        </w:numPr>
        <w:spacing w:after="80"/>
      </w:pPr>
      <w:r>
        <w:t xml:space="preserve">BJS NIBRS page: https://bjs.ojp.gov/national-incident-based-reporting-system-nibrs</w:t>
      </w:r>
    </w:p>
    <w:p>
      <w:pPr>
        <w:pStyle w:val="ListParagraph"/>
        <w:numPr>
          <w:ilvl w:val="0"/>
          <w:numId w:val="2"/>
        </w:numPr>
        <w:spacing w:after="80"/>
      </w:pPr>
      <w:r>
        <w:t xml:space="preserve">ICPSR/NACJD NIBRS archive: https://catalog.data.gov/dataset/national-incident-based-reporting-system-nibrs-series-e45c2</w:t>
      </w:r>
    </w:p>
    <w:p>
      <w:pPr>
        <w:pStyle w:val="Heading2"/>
      </w:pPr>
      <w:r>
        <w:t xml:space="preserve">5.3 Ethical Considerations</w:t>
      </w:r>
    </w:p>
    <w:p>
      <w:pPr>
        <w:spacing w:after="120"/>
      </w:pPr>
      <w:r>
        <w:t xml:space="preserve">Both datasets include demographic features (race, ethnicity, income) with documented bias concerns in the predictive-policing literature. The project will explicitly acknowledge this in its limitations: the model is methodological, not intended for deployment, and inherits known biases from its source data. Sensitive demographic features may be dropped from the training set as a pre-emptive measure, with this decision documented.</w:t>
      </w:r>
    </w:p>
    <w:p>
      <w:pPr>
        <w:pStyle w:val="Heading1"/>
      </w:pPr>
      <w:r>
        <w:t xml:space="preserve">6. Data Preprocessing Pipeline</w:t>
      </w:r>
    </w:p>
    <w:p>
      <w:pPr>
        <w:spacing w:after="120"/>
      </w:pPr>
      <w:r>
        <w:t xml:space="preserve">Preprocessing is implemented as a single reproducible script that outputs saved partition files. The training pipeline then loads these files directly, keeping preprocessing and training cleanly separated.</w:t>
      </w:r>
    </w:p>
    <w:p>
      <w:pPr>
        <w:pStyle w:val="Heading2"/>
      </w:pPr>
      <w:r>
        <w:t xml:space="preserve">6.1 Phase 1 — Acquisition and Initial Load</w:t>
      </w:r>
    </w:p>
    <w:p>
      <w:pPr>
        <w:pStyle w:val="ListParagraph"/>
        <w:numPr>
          <w:ilvl w:val="0"/>
          <w:numId w:val="2"/>
        </w:numPr>
        <w:spacing w:after="80"/>
      </w:pPr>
      <w:r>
        <w:t xml:space="preserve">Download the unnormalized UCI Communities and Crime archive.</w:t>
      </w:r>
    </w:p>
    <w:p>
      <w:pPr>
        <w:pStyle w:val="ListParagraph"/>
        <w:numPr>
          <w:ilvl w:val="0"/>
          <w:numId w:val="2"/>
        </w:numPr>
        <w:spacing w:after="80"/>
      </w:pPr>
      <w:r>
        <w:t xml:space="preserve">Parse the .names file to construct the column header list; the raw CSV ships without headers.</w:t>
      </w:r>
    </w:p>
    <w:p>
      <w:pPr>
        <w:pStyle w:val="ListParagraph"/>
        <w:numPr>
          <w:ilvl w:val="0"/>
          <w:numId w:val="2"/>
        </w:numPr>
        <w:spacing w:after="80"/>
      </w:pPr>
      <w:r>
        <w:t xml:space="preserve">Load with pandas, specifying the delimiter and na_values='?' so that missing-value markers are read correctly.</w:t>
      </w:r>
    </w:p>
    <w:p>
      <w:pPr>
        <w:pStyle w:val="Heading2"/>
      </w:pPr>
      <w:r>
        <w:t xml:space="preserve">6.2 Phase 2 — Inspection and Schema Audit</w:t>
      </w:r>
    </w:p>
    <w:p>
      <w:pPr>
        <w:spacing w:after="120"/>
      </w:pPr>
      <w:r>
        <w:t xml:space="preserve">Before any transformation, a schema audit is run:</w:t>
      </w:r>
    </w:p>
    <w:p>
      <w:pPr>
        <w:pStyle w:val="ListParagraph"/>
        <w:numPr>
          <w:ilvl w:val="0"/>
          <w:numId w:val="2"/>
        </w:numPr>
        <w:spacing w:after="80"/>
      </w:pPr>
      <w:r>
        <w:t xml:space="preserve">Shape, dtypes, and memory footprint.</w:t>
      </w:r>
    </w:p>
    <w:p>
      <w:pPr>
        <w:pStyle w:val="ListParagraph"/>
        <w:numPr>
          <w:ilvl w:val="0"/>
          <w:numId w:val="2"/>
        </w:numPr>
        <w:spacing w:after="80"/>
      </w:pPr>
      <w:r>
        <w:t xml:space="preserve">Missing value counts per column.</w:t>
      </w:r>
    </w:p>
    <w:p>
      <w:pPr>
        <w:pStyle w:val="ListParagraph"/>
        <w:numPr>
          <w:ilvl w:val="0"/>
          <w:numId w:val="2"/>
        </w:numPr>
        <w:spacing w:after="80"/>
      </w:pPr>
      <w:r>
        <w:t xml:space="preserve">Unique value counts for categorical-looking columns.</w:t>
      </w:r>
    </w:p>
    <w:p>
      <w:pPr>
        <w:pStyle w:val="ListParagraph"/>
        <w:numPr>
          <w:ilvl w:val="0"/>
          <w:numId w:val="2"/>
        </w:numPr>
        <w:spacing w:after="80"/>
      </w:pPr>
      <w:r>
        <w:t xml:space="preserve">Distribution of the state code column to confirm that the planned N-way geographic partition is viable.</w:t>
      </w:r>
    </w:p>
    <w:p>
      <w:pPr>
        <w:pStyle w:val="Heading2"/>
      </w:pPr>
      <w:r>
        <w:t xml:space="preserve">6.3 Phase 3 — Cleaning</w:t>
      </w:r>
    </w:p>
    <w:p>
      <w:pPr>
        <w:pStyle w:val="ListParagraph"/>
        <w:numPr>
          <w:ilvl w:val="0"/>
          <w:numId w:val="2"/>
        </w:numPr>
        <w:spacing w:after="80"/>
      </w:pPr>
      <w:r>
        <w:t xml:space="preserve">Drop non-predictive identifier columns: community name, community code, fold number.</w:t>
      </w:r>
    </w:p>
    <w:p>
      <w:pPr>
        <w:pStyle w:val="ListParagraph"/>
        <w:numPr>
          <w:ilvl w:val="0"/>
          <w:numId w:val="2"/>
        </w:numPr>
        <w:spacing w:after="80"/>
      </w:pPr>
      <w:r>
        <w:t xml:space="preserve">Retain the state code column for partitioning; drop it before feeding features to the model.</w:t>
      </w:r>
    </w:p>
    <w:p>
      <w:pPr>
        <w:pStyle w:val="ListParagraph"/>
        <w:numPr>
          <w:ilvl w:val="0"/>
          <w:numId w:val="2"/>
        </w:numPr>
        <w:spacing w:after="80"/>
      </w:pPr>
      <w:r>
        <w:t xml:space="preserve">Handle missing values: drop rows with missing crime-target fields (cleaner than imputation given the documented midwestern rape-count gaps).</w:t>
      </w:r>
    </w:p>
    <w:p>
      <w:pPr>
        <w:pStyle w:val="ListParagraph"/>
        <w:numPr>
          <w:ilvl w:val="0"/>
          <w:numId w:val="2"/>
        </w:numPr>
        <w:spacing w:after="80"/>
      </w:pPr>
      <w:r>
        <w:t xml:space="preserve">Optionally drop sensitive demographic features pre-emptively to reduce bias surface area; document the decision in the methods section.</w:t>
      </w:r>
    </w:p>
    <w:p>
      <w:pPr>
        <w:pStyle w:val="Heading2"/>
      </w:pPr>
      <w:r>
        <w:t xml:space="preserve">6.4 Phase 4 — Label Engineering</w:t>
      </w:r>
    </w:p>
    <w:p>
      <w:pPr>
        <w:spacing w:after="120"/>
      </w:pPr>
      <w:r>
        <w:t xml:space="preserve">Two target labels are derived from the crime rate variables before partitioning, ensuring all agencies share the same label space.</w:t>
      </w:r>
    </w:p>
    <w:p>
      <w:pPr>
        <w:spacing w:after="120"/>
      </w:pPr>
      <w:r>
        <w:rPr>
          <w:b/>
          <w:bCs/>
        </w:rPr>
        <w:t xml:space="preserve">Target 1 — Threat classification (categorical): </w:t>
      </w:r>
      <w:r>
        <w:t xml:space="preserve">for each community, normalized rates are computed for three crime families (violent, property, other), and the community is assigned the label of the dominant family. Produces a 3-class classification target.</w:t>
      </w:r>
    </w:p>
    <w:p>
      <w:pPr>
        <w:spacing w:after="120"/>
      </w:pPr>
      <w:r>
        <w:rPr>
          <w:b/>
          <w:bCs/>
        </w:rPr>
        <w:t xml:space="preserve">Target 2 — Escalation score (continuous in [0,1]): </w:t>
      </w:r>
      <w:r>
        <w:t xml:space="preserve">a weighted severity index computed from normalized crime rates. Violent crimes weighted highest, property second, other lowest. Weights documented explicitly as a design decision.</w:t>
      </w:r>
    </w:p>
    <w:p>
      <w:pPr>
        <w:pStyle w:val="Heading2"/>
      </w:pPr>
      <w:r>
        <w:t xml:space="preserve">6.5 Phase 5 — Feature Transformation</w:t>
      </w:r>
    </w:p>
    <w:p>
      <w:pPr>
        <w:pStyle w:val="ListParagraph"/>
        <w:numPr>
          <w:ilvl w:val="0"/>
          <w:numId w:val="2"/>
        </w:numPr>
        <w:spacing w:after="80"/>
      </w:pPr>
      <w:r>
        <w:rPr>
          <w:b/>
          <w:bCs/>
        </w:rPr>
        <w:t xml:space="preserve">Numerical scaling: </w:t>
      </w:r>
      <w:r>
        <w:t xml:space="preserve">global standardization applied across the federated simulation. This simplifies experimentation; in a real deployment this would require secure aggregation of summary statistics. This simplification will be explicitly noted in the methods section with per-client scaling flagged as future work.</w:t>
      </w:r>
    </w:p>
    <w:p>
      <w:pPr>
        <w:pStyle w:val="ListParagraph"/>
        <w:numPr>
          <w:ilvl w:val="0"/>
          <w:numId w:val="2"/>
        </w:numPr>
        <w:spacing w:after="80"/>
      </w:pPr>
      <w:r>
        <w:rPr>
          <w:b/>
          <w:bCs/>
        </w:rPr>
        <w:t xml:space="preserve">Categorical encoding: </w:t>
      </w:r>
      <w:r>
        <w:t xml:space="preserve">one-hot for low-cardinality features, target encoding for high-cardinality. UCI Communities and Crime is already largely numericized, so this step is minimal.</w:t>
      </w:r>
    </w:p>
    <w:p>
      <w:pPr>
        <w:pStyle w:val="ListParagraph"/>
        <w:numPr>
          <w:ilvl w:val="0"/>
          <w:numId w:val="2"/>
        </w:numPr>
        <w:spacing w:after="80"/>
      </w:pPr>
      <w:r>
        <w:rPr>
          <w:b/>
          <w:bCs/>
        </w:rPr>
        <w:t xml:space="preserve">Output: </w:t>
      </w:r>
      <w:r>
        <w:t xml:space="preserve">a fully numerical, scaled, complete feature matrix ready for partitioning.</w:t>
      </w:r>
    </w:p>
    <w:p>
      <w:pPr>
        <w:pStyle w:val="Heading2"/>
      </w:pPr>
      <w:r>
        <w:t xml:space="preserve">6.6 Phase 6 — Global Test Split</w:t>
      </w:r>
    </w:p>
    <w:p>
      <w:pPr>
        <w:spacing w:after="120"/>
      </w:pPr>
      <w:r>
        <w:t xml:space="preserve">Before federated partitioning, a stratified 15–20% global test set is held out. This set is used to evaluate every model configuration (centralized, local-only, FedAvg, FedProx), ensuring comparable results across experiments. The test set is saved to disk and reused across all runs.</w:t>
      </w:r>
    </w:p>
    <w:p>
      <w:pPr>
        <w:pStyle w:val="Heading2"/>
      </w:pPr>
      <w:r>
        <w:t xml:space="preserve">6.7 Phase 7 — Federated Partitioning</w:t>
      </w:r>
    </w:p>
    <w:p>
      <w:pPr>
        <w:spacing w:after="120"/>
      </w:pPr>
      <w:r>
        <w:t xml:space="preserve">The remaining 80–85% of data is partitioned across N simulated agency clients.</w:t>
      </w:r>
    </w:p>
    <w:p>
      <w:pPr>
        <w:pStyle w:val="ListParagraph"/>
        <w:numPr>
          <w:ilvl w:val="0"/>
          <w:numId w:val="2"/>
        </w:numPr>
        <w:spacing w:after="80"/>
      </w:pPr>
      <w:r>
        <w:t xml:space="preserve">Group communities by state code.</w:t>
      </w:r>
    </w:p>
    <w:p>
      <w:pPr>
        <w:pStyle w:val="ListParagraph"/>
        <w:numPr>
          <w:ilvl w:val="0"/>
          <w:numId w:val="2"/>
        </w:numPr>
        <w:spacing w:after="80"/>
      </w:pPr>
      <w:r>
        <w:t xml:space="preserve">Cluster states into N regional buckets (e.g., Northeast, Southeast, Midwest, Southwest, West for N=5) to approximate a regional fusion center layout.</w:t>
      </w:r>
    </w:p>
    <w:p>
      <w:pPr>
        <w:pStyle w:val="ListParagraph"/>
        <w:numPr>
          <w:ilvl w:val="0"/>
          <w:numId w:val="2"/>
        </w:numPr>
        <w:spacing w:after="80"/>
      </w:pPr>
      <w:r>
        <w:t xml:space="preserve">Within each bucket, split into client train / client validation (80/20).</w:t>
      </w:r>
    </w:p>
    <w:p>
      <w:pPr>
        <w:pStyle w:val="ListParagraph"/>
        <w:numPr>
          <w:ilvl w:val="0"/>
          <w:numId w:val="2"/>
        </w:numPr>
        <w:spacing w:after="80"/>
      </w:pPr>
      <w:r>
        <w:t xml:space="preserve">Save each client's partition as a separate file named by client ID — making the simulation deterministic, reproducible, and reflective of the 'data never leaves the agency' narrative.</w:t>
      </w:r>
    </w:p>
    <w:p>
      <w:pPr>
        <w:spacing w:after="120"/>
      </w:pPr>
      <w:r>
        <w:rPr>
          <w:b/>
          <w:bCs/>
        </w:rPr>
        <w:t xml:space="preserve">Logged sanity statistics (also used as figures in the paper):</w:t>
      </w:r>
    </w:p>
    <w:p>
      <w:pPr>
        <w:pStyle w:val="ListParagraph"/>
        <w:numPr>
          <w:ilvl w:val="0"/>
          <w:numId w:val="2"/>
        </w:numPr>
        <w:spacing w:after="80"/>
      </w:pPr>
      <w:r>
        <w:t xml:space="preserve">Per-client class distribution — expected to skew, evidencing non-IID character.</w:t>
      </w:r>
    </w:p>
    <w:p>
      <w:pPr>
        <w:pStyle w:val="ListParagraph"/>
        <w:numPr>
          <w:ilvl w:val="0"/>
          <w:numId w:val="2"/>
        </w:numPr>
        <w:spacing w:after="80"/>
      </w:pPr>
      <w:r>
        <w:t xml:space="preserve">Per-client sample counts.</w:t>
      </w:r>
    </w:p>
    <w:p>
      <w:pPr>
        <w:pStyle w:val="ListParagraph"/>
        <w:numPr>
          <w:ilvl w:val="0"/>
          <w:numId w:val="2"/>
        </w:numPr>
        <w:spacing w:after="80"/>
      </w:pPr>
      <w:r>
        <w:t xml:space="preserve">Per-client feature mean and standard deviation.</w:t>
      </w:r>
    </w:p>
    <w:p>
      <w:pPr>
        <w:pStyle w:val="Heading2"/>
      </w:pPr>
      <w:r>
        <w:t xml:space="preserve">6.8 Phase 8 — Framework Ingestion</w:t>
      </w:r>
    </w:p>
    <w:p>
      <w:pPr>
        <w:pStyle w:val="ListParagraph"/>
        <w:numPr>
          <w:ilvl w:val="0"/>
          <w:numId w:val="2"/>
        </w:numPr>
        <w:spacing w:after="80"/>
      </w:pPr>
      <w:r>
        <w:t xml:space="preserve">Load each client partition into a pandas DataFrame.</w:t>
      </w:r>
    </w:p>
    <w:p>
      <w:pPr>
        <w:pStyle w:val="ListParagraph"/>
        <w:numPr>
          <w:ilvl w:val="0"/>
          <w:numId w:val="2"/>
        </w:numPr>
        <w:spacing w:after="80"/>
      </w:pPr>
      <w:r>
        <w:t xml:space="preserve">Convert features and both labels to PyTorch tensors.</w:t>
      </w:r>
    </w:p>
    <w:p>
      <w:pPr>
        <w:pStyle w:val="ListParagraph"/>
        <w:numPr>
          <w:ilvl w:val="0"/>
          <w:numId w:val="2"/>
        </w:numPr>
        <w:spacing w:after="80"/>
      </w:pPr>
      <w:r>
        <w:t xml:space="preserve">Wrap in TensorDataset carrying (features, class_label, escalation_label).</w:t>
      </w:r>
    </w:p>
    <w:p>
      <w:pPr>
        <w:pStyle w:val="ListParagraph"/>
        <w:numPr>
          <w:ilvl w:val="0"/>
          <w:numId w:val="2"/>
        </w:numPr>
        <w:spacing w:after="80"/>
      </w:pPr>
      <w:r>
        <w:t xml:space="preserve">Create a DataLoader per client with consistent batch size.</w:t>
      </w:r>
    </w:p>
    <w:p>
      <w:pPr>
        <w:pStyle w:val="ListParagraph"/>
        <w:numPr>
          <w:ilvl w:val="0"/>
          <w:numId w:val="2"/>
        </w:numPr>
        <w:spacing w:after="80"/>
      </w:pPr>
      <w:r>
        <w:t xml:space="preserve">Each client's Flower NumPyClient subclass holds its own DataLoader.</w:t>
      </w:r>
    </w:p>
    <w:p>
      <w:pPr>
        <w:pStyle w:val="Heading2"/>
      </w:pPr>
      <w:r>
        <w:t xml:space="preserve">6.9 Reproducibility Controls</w:t>
      </w:r>
    </w:p>
    <w:p>
      <w:pPr>
        <w:pStyle w:val="ListParagraph"/>
        <w:numPr>
          <w:ilvl w:val="0"/>
          <w:numId w:val="2"/>
        </w:numPr>
        <w:spacing w:after="80"/>
      </w:pPr>
      <w:r>
        <w:t xml:space="preserve">Random seeds fixed at every stochastic step: splits, partitions, DataLoader shuffles.</w:t>
      </w:r>
    </w:p>
    <w:p>
      <w:pPr>
        <w:pStyle w:val="ListParagraph"/>
        <w:numPr>
          <w:ilvl w:val="0"/>
          <w:numId w:val="2"/>
        </w:numPr>
        <w:spacing w:after="80"/>
      </w:pPr>
      <w:r>
        <w:t xml:space="preserve">Fitted scaler object saved and reused across runs.</w:t>
      </w:r>
    </w:p>
    <w:p>
      <w:pPr>
        <w:pStyle w:val="ListParagraph"/>
        <w:numPr>
          <w:ilvl w:val="0"/>
          <w:numId w:val="2"/>
        </w:numPr>
        <w:spacing w:after="80"/>
      </w:pPr>
      <w:r>
        <w:t xml:space="preserve">Global test split frozen on first run and reused.</w:t>
      </w:r>
    </w:p>
    <w:p>
      <w:pPr>
        <w:pStyle w:val="ListParagraph"/>
        <w:numPr>
          <w:ilvl w:val="0"/>
          <w:numId w:val="2"/>
        </w:numPr>
        <w:spacing w:after="80"/>
      </w:pPr>
      <w:r>
        <w:t xml:space="preserve">Per-client statistics logged to disk for every experiment.</w:t>
      </w:r>
    </w:p>
    <w:p>
      <w:pPr>
        <w:pStyle w:val="Heading1"/>
      </w:pPr>
      <w:r>
        <w:t xml:space="preserve">7. Experiment Design</w:t>
      </w:r>
    </w:p>
    <w:p>
      <w:pPr>
        <w:spacing w:after="120"/>
      </w:pPr>
      <w:r>
        <w:t xml:space="preserve">All experiments are hosted on Chameleon Cloud. This section covers the experimental environment, deployment strategy, feasibility analysis relative to Chameleon's resource model, the experiment matrix, metrics, execution workflow, and operational risks. The overall message is that the planned scope has been deliberately calibrated to fit comfortably within a single Chameleon bare metal node, making compute a non-bottleneck and placing the operational focus on lease management and reproducibility rather than raw performance.</w:t>
      </w:r>
    </w:p>
    <w:p>
      <w:pPr>
        <w:pStyle w:val="Heading2"/>
      </w:pPr>
      <w:r>
        <w:t xml:space="preserve">7.1 Experimental Environment — Chameleon Cloud</w:t>
      </w:r>
    </w:p>
    <w:p>
      <w:pPr>
        <w:spacing w:after="120"/>
      </w:pPr>
      <w:r>
        <w:t xml:space="preserve">Chameleon Cloud is an NSF-funded, shared research testbed that provides bare metal and virtualized resources under a reservation and lease model. The project operates within this model as follows:</w:t>
      </w:r>
    </w:p>
    <w:p>
      <w:pPr>
        <w:pStyle w:val="ListParagraph"/>
        <w:numPr>
          <w:ilvl w:val="0"/>
          <w:numId w:val="2"/>
        </w:numPr>
        <w:spacing w:after="80"/>
      </w:pPr>
      <w:r>
        <w:rPr>
          <w:b/>
          <w:bCs/>
        </w:rPr>
        <w:t xml:space="preserve">Node type: </w:t>
      </w:r>
      <w:r>
        <w:t xml:space="preserve">a single CPU bare metal node (e.g., compute_haswell or compute_cascadelake class). No GPU is required — the multi-task MLP trains in seconds per round on CPU, and CPU nodes typically have shorter queue waits than GPU nodes.</w:t>
      </w:r>
    </w:p>
    <w:p>
      <w:pPr>
        <w:pStyle w:val="ListParagraph"/>
        <w:numPr>
          <w:ilvl w:val="0"/>
          <w:numId w:val="2"/>
        </w:numPr>
        <w:spacing w:after="80"/>
      </w:pPr>
      <w:r>
        <w:rPr>
          <w:b/>
          <w:bCs/>
        </w:rPr>
        <w:t xml:space="preserve">Operating image: </w:t>
      </w:r>
      <w:r>
        <w:t xml:space="preserve">an Ubuntu 22.04 base image extended with Python 3.10+, Flower, PyTorch, pandas, scikit-learn, and supporting libraries. The provisioning script is version-controlled and stored in the project repository so that the environment is reconstructible.</w:t>
      </w:r>
    </w:p>
    <w:p>
      <w:pPr>
        <w:pStyle w:val="ListParagraph"/>
        <w:numPr>
          <w:ilvl w:val="0"/>
          <w:numId w:val="2"/>
        </w:numPr>
        <w:spacing w:after="80"/>
      </w:pPr>
      <w:r>
        <w:rPr>
          <w:b/>
          <w:bCs/>
        </w:rPr>
        <w:t xml:space="preserve">Lease management: </w:t>
      </w:r>
      <w:r>
        <w:t xml:space="preserve">6-day leases consistent with Chameleon's standard limits. A lease renewal plan is defined so that any experiment cycle spanning multiple leases stages results to persistent storage before teardown.</w:t>
      </w:r>
    </w:p>
    <w:p>
      <w:pPr>
        <w:pStyle w:val="ListParagraph"/>
        <w:numPr>
          <w:ilvl w:val="0"/>
          <w:numId w:val="2"/>
        </w:numPr>
        <w:spacing w:after="80"/>
      </w:pPr>
      <w:r>
        <w:rPr>
          <w:b/>
          <w:bCs/>
        </w:rPr>
        <w:t xml:space="preserve">Persistent storage: </w:t>
      </w:r>
      <w:r>
        <w:t xml:space="preserve">Chameleon object storage is used to retain datasets, trained model checkpoints, and experiment logs across leases. Ephemeral node-local storage is only used for in-flight computation.</w:t>
      </w:r>
    </w:p>
    <w:p>
      <w:pPr>
        <w:pStyle w:val="ListParagraph"/>
        <w:numPr>
          <w:ilvl w:val="0"/>
          <w:numId w:val="2"/>
        </w:numPr>
        <w:spacing w:after="80"/>
      </w:pPr>
      <w:r>
        <w:rPr>
          <w:b/>
          <w:bCs/>
        </w:rPr>
        <w:t xml:space="preserve">Reproducibility packaging: </w:t>
      </w:r>
      <w:r>
        <w:t xml:space="preserve">the complete experiment environment — provisioning script, preprocessing code, training pipeline, and results — is packaged for sharing via Chameleon's Trovi platform (or equivalent), enabling independent reproduction of the results.</w:t>
      </w:r>
    </w:p>
    <w:p>
      <w:pPr>
        <w:pStyle w:val="Heading2"/>
      </w:pPr>
      <w:r>
        <w:t xml:space="preserve">7.2 Deployment Strategy — Single-Node Simulated Federation</w:t>
      </w:r>
    </w:p>
    <w:p>
      <w:pPr>
        <w:spacing w:after="120"/>
      </w:pPr>
      <w:r>
        <w:t xml:space="preserve">The federation is implemented using Flower's simulation mode on a single bare metal node. Each of the N agency clients runs as an independent process on the same node, with Flower orchestrating the server-client message exchange. This deployment pattern is standard in FL research and is the intentional choice for this project.</w:t>
      </w:r>
    </w:p>
    <w:p>
      <w:pPr>
        <w:spacing w:after="120"/>
      </w:pPr>
      <w:r>
        <w:rPr>
          <w:b/>
          <w:bCs/>
        </w:rPr>
        <w:t xml:space="preserve">Why single-node simulation is the right choice here:</w:t>
      </w:r>
    </w:p>
    <w:p>
      <w:pPr>
        <w:pStyle w:val="ListParagraph"/>
        <w:numPr>
          <w:ilvl w:val="0"/>
          <w:numId w:val="2"/>
        </w:numPr>
        <w:spacing w:after="80"/>
      </w:pPr>
      <w:r>
        <w:t xml:space="preserve">The scientific question being asked — can a federated model approach centralized performance under non-IID partitioning? — does not depend on real network separation between clients. Clients still send and receive the same gradient updates regardless of whether the transport is localhost or a physical network.</w:t>
      </w:r>
    </w:p>
    <w:p>
      <w:pPr>
        <w:pStyle w:val="ListParagraph"/>
        <w:numPr>
          <w:ilvl w:val="0"/>
          <w:numId w:val="2"/>
        </w:numPr>
        <w:spacing w:after="80"/>
      </w:pPr>
      <w:r>
        <w:t xml:space="preserve">A single-node footprint dramatically simplifies lease management. Reserving one node for a 6-day window is straightforward; reserving N synchronized nodes across multiple lease boundaries is an engineering problem in its own right.</w:t>
      </w:r>
    </w:p>
    <w:p>
      <w:pPr>
        <w:pStyle w:val="ListParagraph"/>
        <w:numPr>
          <w:ilvl w:val="0"/>
          <w:numId w:val="2"/>
        </w:numPr>
        <w:spacing w:after="80"/>
      </w:pPr>
      <w:r>
        <w:t xml:space="preserve">Single-node simulation keeps resource usage well within a typical Chameleon allocation, leaving headroom for additional experiments if scope allows.</w:t>
      </w:r>
    </w:p>
    <w:p>
      <w:pPr>
        <w:spacing w:after="120"/>
      </w:pPr>
      <w:r>
        <w:rPr>
          <w:b/>
          <w:bCs/>
        </w:rPr>
        <w:t xml:space="preserve">What a multi-node deployment would add and why it is deferred: </w:t>
      </w:r>
      <w:r>
        <w:t xml:space="preserve">running each client on a dedicated bare metal node with real network communication would more closely mirror a true fusion center federation, including realistic latency and bandwidth effects. It is deferred to future work because it multiplies resource cost N-fold, introduces inter-node synchronization and failure-recovery complexity, and does not change the core methodological result.</w:t>
      </w:r>
    </w:p>
    <w:p>
      <w:pPr>
        <w:pStyle w:val="Heading2"/>
      </w:pPr>
      <w:r>
        <w:t xml:space="preserve">7.3 Feasibility Analysis</w:t>
      </w:r>
    </w:p>
    <w:p>
      <w:pPr>
        <w:spacing w:after="120"/>
      </w:pPr>
      <w:r>
        <w:t xml:space="preserve">The project's compute, memory, and storage requirements are modest relative to a single Chameleon bare metal node. The table below summarizes the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800"/>
        <w:gridCol w:w="1160"/>
      </w:tblGrid>
      <w:tr>
        <w:tc>
          <w:tcPr>
            <w:tcW w:type="dxa" w:w="26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rPr>
              <w:t xml:space="preserve">Resource</w:t>
            </w:r>
          </w:p>
        </w:tc>
        <w:tc>
          <w:tcPr>
            <w:tcW w:type="dxa" w:w="28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rPr>
              <w:t xml:space="preserve">Requirement</w:t>
            </w:r>
          </w:p>
        </w:tc>
        <w:tc>
          <w:tcPr>
            <w:tcW w:type="dxa" w:w="28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rPr>
              <w:t xml:space="preserve">Typical node capacity</w:t>
            </w:r>
          </w:p>
        </w:tc>
        <w:tc>
          <w:tcPr>
            <w:tcW w:type="dxa" w:w="116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rPr>
              <w:t xml:space="preserve">Fit</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Dataset size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~2,000 rows × 125 features (a few MB)</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Hundreds of GB disk</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Model size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~10–50K parameters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Trivial</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Training time per round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Seconds on CPU</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Multi-core CPU readily available</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Memory per client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&lt; 1 GB</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128+ GB typical</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Concurrent clients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 = 5 primary, N = 10 max</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Many CPU cores</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Full experiment suite runtime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~6 configurations × up to 100 rounds each</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Hours, not days</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t>
            </w:r>
          </w:p>
        </w:tc>
      </w:tr>
    </w:tbl>
    <w:p>
      <w:pPr>
        <w:spacing w:after="120"/>
      </w:pPr>
      <w:r>
        <w:t xml:space="preserve"/>
      </w:r>
    </w:p>
    <w:p>
      <w:pPr>
        <w:spacing w:after="120"/>
      </w:pPr>
      <w:r>
        <w:t xml:space="preserve">No planned experiment approaches the resource ceiling of a single node. Two consequences follow:</w:t>
      </w:r>
    </w:p>
    <w:p>
      <w:pPr>
        <w:pStyle w:val="ListParagraph"/>
        <w:numPr>
          <w:ilvl w:val="0"/>
          <w:numId w:val="2"/>
        </w:numPr>
        <w:spacing w:after="80"/>
      </w:pPr>
      <w:r>
        <w:rPr>
          <w:b/>
          <w:bCs/>
        </w:rPr>
        <w:t xml:space="preserve">Compute is not the bottleneck. </w:t>
      </w:r>
      <w:r>
        <w:t xml:space="preserve">The primary operational risks are lease management, dependency installation, and reproducibility — not throughput.</w:t>
      </w:r>
    </w:p>
    <w:p>
      <w:pPr>
        <w:pStyle w:val="ListParagraph"/>
        <w:numPr>
          <w:ilvl w:val="0"/>
          <w:numId w:val="2"/>
        </w:numPr>
        <w:spacing w:after="80"/>
      </w:pPr>
      <w:r>
        <w:rPr>
          <w:b/>
          <w:bCs/>
        </w:rPr>
        <w:t xml:space="preserve">Scope expansion has headroom. </w:t>
      </w:r>
      <w:r>
        <w:t xml:space="preserve">If timing permits, additional N values, alternative FL strategies, or ablations can be added without infrastructure changes.</w:t>
      </w:r>
    </w:p>
    <w:p>
      <w:pPr>
        <w:pStyle w:val="Heading2"/>
      </w:pPr>
      <w:r>
        <w:t xml:space="preserve">7.4 Experiment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rPr>
              <w:t xml:space="preserve">Experiment</w:t>
            </w:r>
          </w:p>
        </w:tc>
        <w:tc>
          <w:tcPr>
            <w:tcW w:type="dxa" w:w="328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rPr>
              <w:t xml:space="preserve">What it demonstrates</w:t>
            </w:r>
          </w:p>
        </w:tc>
        <w:tc>
          <w:tcPr>
            <w:tcW w:type="dxa" w:w="328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rPr>
              <w:t xml:space="preserve">Contribution claim supported</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Centralized baseline (all data pooled)</w:t>
            </w:r>
          </w:p>
        </w:tc>
        <w:tc>
          <w:tcPr>
            <w:tcW w:type="dxa" w:w="32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Upper bound on predictive performance</w:t>
            </w:r>
          </w:p>
        </w:tc>
        <w:tc>
          <w:tcPr>
            <w:tcW w:type="dxa" w:w="32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Sets the ceiling the federated model approaches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Local-only per client (no federation)</w:t>
            </w:r>
          </w:p>
        </w:tc>
        <w:tc>
          <w:tcPr>
            <w:tcW w:type="dxa" w:w="32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Lower bound representing agencies operating in isolation</w:t>
            </w:r>
          </w:p>
        </w:tc>
        <w:tc>
          <w:tcPr>
            <w:tcW w:type="dxa" w:w="32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Shows the cost of siloed operation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FedAvg on IID partition</w:t>
            </w:r>
          </w:p>
        </w:tc>
        <w:tc>
          <w:tcPr>
            <w:tcW w:type="dxa" w:w="32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Sanity check that federation works in the easy case</w:t>
            </w:r>
          </w:p>
        </w:tc>
        <w:tc>
          <w:tcPr>
            <w:tcW w:type="dxa" w:w="32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Confirms the implementation is correct before stressing it</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FedAvg on non-IID geographic partition</w:t>
            </w:r>
          </w:p>
        </w:tc>
        <w:tc>
          <w:tcPr>
            <w:tcW w:type="dxa" w:w="32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Core result — realistic fusion center scenario</w:t>
            </w:r>
          </w:p>
        </w:tc>
        <w:tc>
          <w:tcPr>
            <w:tcW w:type="dxa" w:w="32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FL approaches centralized performance despite non-IID data</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FedProx on non-IID geographic partition</w:t>
            </w:r>
          </w:p>
        </w:tc>
        <w:tc>
          <w:tcPr>
            <w:tcW w:type="dxa" w:w="32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Robustness to client drift</w:t>
            </w:r>
          </w:p>
        </w:tc>
        <w:tc>
          <w:tcPr>
            <w:tcW w:type="dxa" w:w="32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Improvement over FedAvg under realistic heterogeneity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Scaling: N = 3, 5, 10 agencies</w:t>
            </w:r>
          </w:p>
        </w:tc>
        <w:tc>
          <w:tcPr>
            <w:tcW w:type="dxa" w:w="32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Behavior as the federation grows</w:t>
            </w:r>
          </w:p>
        </w:tc>
        <w:tc>
          <w:tcPr>
            <w:tcW w:type="dxa" w:w="32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Practical deployment insight</w:t>
            </w:r>
          </w:p>
        </w:tc>
      </w:tr>
    </w:tbl>
    <w:p>
      <w:pPr>
        <w:spacing w:after="120"/>
      </w:pPr>
      <w:r>
        <w:t xml:space="preserve"/>
      </w:r>
    </w:p>
    <w:p>
      <w:pPr>
        <w:pStyle w:val="Heading2"/>
      </w:pPr>
      <w:r>
        <w:t xml:space="preserve">7.5 Metrics</w:t>
      </w:r>
    </w:p>
    <w:p>
      <w:pPr>
        <w:pStyle w:val="ListParagraph"/>
        <w:numPr>
          <w:ilvl w:val="0"/>
          <w:numId w:val="2"/>
        </w:numPr>
        <w:spacing w:after="80"/>
      </w:pPr>
      <w:r>
        <w:rPr>
          <w:b/>
          <w:bCs/>
        </w:rPr>
        <w:t xml:space="preserve">Classification: </w:t>
      </w:r>
      <w:r>
        <w:t xml:space="preserve">accuracy, macro-F1, per-class precision and recall.</w:t>
      </w:r>
    </w:p>
    <w:p>
      <w:pPr>
        <w:pStyle w:val="ListParagraph"/>
        <w:numPr>
          <w:ilvl w:val="0"/>
          <w:numId w:val="2"/>
        </w:numPr>
        <w:spacing w:after="80"/>
      </w:pPr>
      <w:r>
        <w:rPr>
          <w:b/>
          <w:bCs/>
        </w:rPr>
        <w:t xml:space="preserve">Escalation score: </w:t>
      </w:r>
      <w:r>
        <w:t xml:space="preserve">mean absolute error (MAE) and AUROC (escalation treated as a ranking task).</w:t>
      </w:r>
    </w:p>
    <w:p>
      <w:pPr>
        <w:pStyle w:val="ListParagraph"/>
        <w:numPr>
          <w:ilvl w:val="0"/>
          <w:numId w:val="2"/>
        </w:numPr>
        <w:spacing w:after="80"/>
      </w:pPr>
      <w:r>
        <w:rPr>
          <w:b/>
          <w:bCs/>
        </w:rPr>
        <w:t xml:space="preserve">Federation overhead: </w:t>
      </w:r>
      <w:r>
        <w:t xml:space="preserve">communication rounds to convergence, per-round parameter update size.</w:t>
      </w:r>
    </w:p>
    <w:p>
      <w:pPr>
        <w:pStyle w:val="ListParagraph"/>
        <w:numPr>
          <w:ilvl w:val="0"/>
          <w:numId w:val="2"/>
        </w:numPr>
        <w:spacing w:after="80"/>
      </w:pPr>
      <w:r>
        <w:rPr>
          <w:b/>
          <w:bCs/>
        </w:rPr>
        <w:t xml:space="preserve">Fairness across clients: </w:t>
      </w:r>
      <w:r>
        <w:t xml:space="preserve">variance of per-client accuracy on the global test set.</w:t>
      </w:r>
    </w:p>
    <w:p>
      <w:pPr>
        <w:pStyle w:val="Heading2"/>
      </w:pPr>
      <w:r>
        <w:t xml:space="preserve">7.6 Convergence Criteria</w:t>
      </w:r>
    </w:p>
    <w:p>
      <w:pPr>
        <w:spacing w:after="120"/>
      </w:pPr>
      <w:r>
        <w:t xml:space="preserve">Training stops at 100 communication rounds or when global loss plateaus for 10 consecutive rounds, whichever comes first. This bound is informed by the feasibility analysis — at seconds per round, 100 rounds per configuration completes within minutes, leaving the full experiment suite well within a single lease window.</w:t>
      </w:r>
    </w:p>
    <w:p>
      <w:pPr>
        <w:pStyle w:val="Heading2"/>
      </w:pPr>
      <w:r>
        <w:t xml:space="preserve">7.7 Execution Workflow on Chameleon</w:t>
      </w:r>
    </w:p>
    <w:p>
      <w:pPr>
        <w:spacing w:after="120"/>
      </w:pPr>
      <w:r>
        <w:t xml:space="preserve">Each experiment cycle follows a consistent sequence, automatable via orchestration scripts so that human intervention is limited to reservation and result review:</w:t>
      </w:r>
    </w:p>
    <w:p>
      <w:pPr>
        <w:pStyle w:val="ListParagraph"/>
        <w:numPr>
          <w:ilvl w:val="0"/>
          <w:numId w:val="3"/>
        </w:numPr>
        <w:spacing w:after="80"/>
      </w:pPr>
      <w:r>
        <w:t xml:space="preserve">Reserve a bare metal node and launch the Ubuntu 22.04 image through Chameleon's lease system.</w:t>
      </w:r>
    </w:p>
    <w:p>
      <w:pPr>
        <w:pStyle w:val="ListParagraph"/>
        <w:numPr>
          <w:ilvl w:val="0"/>
          <w:numId w:val="3"/>
        </w:numPr>
        <w:spacing w:after="80"/>
      </w:pPr>
      <w:r>
        <w:t xml:space="preserve">Run the provisioning script to install Flower, PyTorch, and supporting dependencies, and clone the project repository.</w:t>
      </w:r>
    </w:p>
    <w:p>
      <w:pPr>
        <w:pStyle w:val="ListParagraph"/>
        <w:numPr>
          <w:ilvl w:val="0"/>
          <w:numId w:val="3"/>
        </w:numPr>
        <w:spacing w:after="80"/>
      </w:pPr>
      <w:r>
        <w:t xml:space="preserve">Fetch the UCI Communities and Crime dataset from persistent object storage (or download fresh on first run).</w:t>
      </w:r>
    </w:p>
    <w:p>
      <w:pPr>
        <w:pStyle w:val="ListParagraph"/>
        <w:numPr>
          <w:ilvl w:val="0"/>
          <w:numId w:val="3"/>
        </w:numPr>
        <w:spacing w:after="80"/>
      </w:pPr>
      <w:r>
        <w:t xml:space="preserve">Execute the preprocessing pipeline; outputs (per-client partition files, global test split, fitted scaler) are written to structured directories.</w:t>
      </w:r>
    </w:p>
    <w:p>
      <w:pPr>
        <w:pStyle w:val="ListParagraph"/>
        <w:numPr>
          <w:ilvl w:val="0"/>
          <w:numId w:val="3"/>
        </w:numPr>
        <w:spacing w:after="80"/>
      </w:pPr>
      <w:r>
        <w:t xml:space="preserve">Run each experiment configuration via Flower's simulation mode. Per-round metrics, final model checkpoints, and logs are written to configuration-specific output directories.</w:t>
      </w:r>
    </w:p>
    <w:p>
      <w:pPr>
        <w:pStyle w:val="ListParagraph"/>
        <w:numPr>
          <w:ilvl w:val="0"/>
          <w:numId w:val="3"/>
        </w:numPr>
        <w:spacing w:after="80"/>
      </w:pPr>
      <w:r>
        <w:t xml:space="preserve">Stage all outputs to Chameleon object storage so they persist beyond the current lease.</w:t>
      </w:r>
    </w:p>
    <w:p>
      <w:pPr>
        <w:pStyle w:val="ListParagraph"/>
        <w:numPr>
          <w:ilvl w:val="0"/>
          <w:numId w:val="3"/>
        </w:numPr>
        <w:spacing w:after="80"/>
      </w:pPr>
      <w:r>
        <w:t xml:space="preserve">Generate evaluation plots and summary tables from the logged metrics.</w:t>
      </w:r>
    </w:p>
    <w:p>
      <w:pPr>
        <w:pStyle w:val="ListParagraph"/>
        <w:numPr>
          <w:ilvl w:val="0"/>
          <w:numId w:val="3"/>
        </w:numPr>
        <w:spacing w:after="80"/>
      </w:pPr>
      <w:r>
        <w:t xml:space="preserve">Package the complete environment and artifacts for Trovi sharing.</w:t>
      </w:r>
    </w:p>
    <w:p>
      <w:pPr>
        <w:pStyle w:val="Heading2"/>
      </w:pPr>
      <w:r>
        <w:t xml:space="preserve">7.8 Operational Risks and Mitigations</w:t>
      </w:r>
    </w:p>
    <w:p>
      <w:pPr>
        <w:spacing w:after="120"/>
      </w:pPr>
      <w:r>
        <w:t xml:space="preserve">With compute feasibility settled, the remaining risks are Chameleon-operational and experimental-hygiene in 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rPr>
              <w:t xml:space="preserve">Risk</w:t>
            </w:r>
          </w:p>
        </w:tc>
        <w:tc>
          <w:tcPr>
            <w:tcW w:type="dxa" w:w="624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rPr>
              <w:t xml:space="preserve">Mitigation</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Lease expiry mid-experiment</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Monitor lease status, schedule extensions or renewal; stage artifacts to persistent object storage at every experiment boundary so no run is lost on teardown.</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Dependency installation failures on a fresh node</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Version-pin all installs in the provisioning script; test the script on a fresh test node before running the main experiment suite.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Reproducibility drift between runs</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Fix random seeds at every stochastic step (splits, partitions, DataLoader shuffles); save the fitted scaler and global test split to disk; log the environment snapshot (pip freeze equivalent) alongside each run.</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Queue wait for preferred node type</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Define a fallback ordering of acceptable CPU node types. Since the workload is CPU-tolerant, falling back to a different node class has no methodological impact.</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Data or model loss on node teardown</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Automatic artifact staging from node-local storage to Chameleon object storage at the end of each experiment run.</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Ambiguity about single-node simulation validity</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Document the deployment choice explicitly in the methods section, cite Flower's simulation-mode usage in FL research, and flag multi-node deployment as future work.</w:t>
            </w:r>
          </w:p>
        </w:tc>
      </w:tr>
    </w:tbl>
    <w:p>
      <w:pPr>
        <w:spacing w:after="120"/>
      </w:pPr>
      <w:r>
        <w:t xml:space="preserve"/>
      </w:r>
    </w:p>
    <w:p>
      <w:pPr>
        <w:pStyle w:val="Heading2"/>
      </w:pPr>
      <w:r>
        <w:t xml:space="preserve">7.9 Headline Result</w:t>
      </w:r>
    </w:p>
    <w:p>
      <w:pPr>
        <w:spacing w:after="120"/>
      </w:pPr>
      <w:r>
        <w:t xml:space="preserve">The primary figure of the paper shows non-IID FedAvg and FedProx performance reaching within a small delta of the centralized upper bound, while no client ever exposes raw data. This single comparison — produced entirely within a single Chameleon node via Flower's simulation mode — is the central empirical result of the project.</w:t>
      </w:r>
    </w:p>
    <w:p>
      <w:pPr>
        <w:pStyle w:val="Heading1"/>
      </w:pPr>
      <w:r>
        <w:t xml:space="preserve">8. Limitations and Future Work</w:t>
      </w:r>
    </w:p>
    <w:p>
      <w:pPr>
        <w:pStyle w:val="ListParagraph"/>
        <w:numPr>
          <w:ilvl w:val="0"/>
          <w:numId w:val="2"/>
        </w:numPr>
        <w:spacing w:after="80"/>
      </w:pPr>
      <w:r>
        <w:rPr>
          <w:b/>
          <w:bCs/>
        </w:rPr>
        <w:t xml:space="preserve">Simulated federation: </w:t>
      </w:r>
      <w:r>
        <w:t xml:space="preserve">agencies are simulated as dataset partitions on Chameleon rather than true independent nodes. A real deployment would introduce network and trust boundaries not modeled here.</w:t>
      </w:r>
    </w:p>
    <w:p>
      <w:pPr>
        <w:pStyle w:val="ListParagraph"/>
        <w:numPr>
          <w:ilvl w:val="0"/>
          <w:numId w:val="2"/>
        </w:numPr>
        <w:spacing w:after="80"/>
      </w:pPr>
      <w:r>
        <w:rPr>
          <w:b/>
          <w:bCs/>
        </w:rPr>
        <w:t xml:space="preserve">Global feature scaling: </w:t>
      </w:r>
      <w:r>
        <w:t xml:space="preserve">the simulation uses globally fitted scalers for simplicity. Per-client scaling via secure aggregation is flagged as future work.</w:t>
      </w:r>
    </w:p>
    <w:p>
      <w:pPr>
        <w:pStyle w:val="ListParagraph"/>
        <w:numPr>
          <w:ilvl w:val="0"/>
          <w:numId w:val="2"/>
        </w:numPr>
        <w:spacing w:after="80"/>
      </w:pPr>
      <w:r>
        <w:rPr>
          <w:b/>
          <w:bCs/>
        </w:rPr>
        <w:t xml:space="preserve">Dataset age and known biases: </w:t>
      </w:r>
      <w:r>
        <w:t xml:space="preserve">the UCI Communities and Crime dataset reflects 1990s-era data and carries documented demographic bias; the work is methodological, not deployment-ready.</w:t>
      </w:r>
    </w:p>
    <w:p>
      <w:pPr>
        <w:pStyle w:val="ListParagraph"/>
        <w:numPr>
          <w:ilvl w:val="0"/>
          <w:numId w:val="2"/>
        </w:numPr>
        <w:spacing w:after="80"/>
      </w:pPr>
      <w:r>
        <w:rPr>
          <w:b/>
          <w:bCs/>
        </w:rPr>
        <w:t xml:space="preserve">Flat federation only: </w:t>
      </w:r>
      <w:r>
        <w:t xml:space="preserve">hierarchical federated learning (local → regional → national tiers), which more closely mirrors real fusion center structure, is deferred to future work.</w:t>
      </w:r>
    </w:p>
    <w:p>
      <w:pPr>
        <w:pStyle w:val="ListParagraph"/>
        <w:numPr>
          <w:ilvl w:val="0"/>
          <w:numId w:val="2"/>
        </w:numPr>
        <w:spacing w:after="80"/>
      </w:pPr>
      <w:r>
        <w:rPr>
          <w:b/>
          <w:bCs/>
        </w:rPr>
        <w:t xml:space="preserve">No privacy-preserving add-ons: </w:t>
      </w:r>
      <w:r>
        <w:t xml:space="preserve">differential privacy, secure aggregation, and adversarial client defense are not implemented in this iteration and are candidates for subsequent extensions.</w:t>
      </w:r>
    </w:p>
    <w:p>
      <w:pPr>
        <w:pStyle w:val="Heading1"/>
      </w:pPr>
      <w:r>
        <w:t xml:space="preserve">Appendix A — Locked Project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rPr>
              <w:t xml:space="preserve">Component</w:t>
            </w:r>
          </w:p>
        </w:tc>
        <w:tc>
          <w:tcPr>
            <w:tcW w:type="dxa" w:w="624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rPr>
              <w:t xml:space="preserve">Decision</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Scenario</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Cross-jurisdictional fusion centers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Dataset</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UCI Communities and Crime (Unnormalized), primary; FBI NIBRS as optional extension</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Model</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Multi-task MLP with shared trunk (~128 → 64 → 32) and two heads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Tasks</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Threat classification (softmax) + escalation risk score (sigmoid)</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Federation</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Flat FedAvg (baseline), FedProx (non-IID variant) — no hierarchical FL</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FL framework</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Flower (flwr) + PyTorch backend</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Infrastructure</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Chameleon Cloud</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Number of clients</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 = 5 primary, N = 3 and N = 10 as scaling experiments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Partition strategy</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Geographic (state-to-region bucketing) as primary; IID and Dirichlet as secondary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2026-04-23T22:38:54.610Z</dcterms:created>
  <dcterms:modified xsi:type="dcterms:W3CDTF">2026-04-23T22:38:54.611Z</dcterms:modified>
</cp:coreProperties>
</file>

<file path=docProps/custom.xml><?xml version="1.0" encoding="utf-8"?>
<Properties xmlns="http://schemas.openxmlformats.org/officeDocument/2006/custom-properties" xmlns:vt="http://schemas.openxmlformats.org/officeDocument/2006/docPropsVTypes"/>
</file>