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Strategic UI/UX Architecture and Digital Ecosystem Blueprint for the CHOICE Project (2025–2028)</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Socio-Technical Landscape and Strategic Alignment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CHOICE Project (2025–2028), co-funded by Global Affairs Canada and Oxfam Canada, represents a vital milestone in the evolution of adolescent Sexual and Reproductive Health and Rights (SRHR) in Malawi. By establishing an integrated digital ecosystem, VillageReach aims to bridge the gap between young people and high-quality, stigma-free SRHR information and services. This strategic initiative builds directly upon the foundational successes of Malawi’s national telehealth platform, Chipatala cha pa Foni (CCPF).</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Historically, CCPF proved that mobile technology can significantly optimize health-seeking behavior, resulting in high user satisfaction and dramatically increasing HIV testing and condom usage among youth.</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digital ecosystem is designed to address the socio-economic and infrastructural realities of the Malawian digital landscape, where more than 80% of the population resides in rural areas characterized by limited electricity, high data costs, and intermittent cellular connectivity.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Under the CHOICE initiative, the consultant will deploy an offline-first Youth Choice Progressive Web App (PWA) seamlessly integrated with Facebook, WhatsApp, and an open-source Business Intelligence (BI) dashboard. To achieve maximum adoption and sustained engagement, this report presents a highly specialized UI/UX design strategy and technical architecture tailored for low-bandwidth environments, prioritizing confidentiality, user safety, and local cultural alignment.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Designing a highly impactful digital health solution requires a deep, geographically specific understanding of the intended users. The designated field-testing areas, Balaka and Lilongwe, present distinct socio-demographic profiles that must directly inform the localized UI/UX design. Balaka District covers an area of 2,140 square kilometers and has a population of approximately 438,379, which is increasing at an annual rate of 2.3%.</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demographic fabric of Balaka is ethnically and religiously diverse, with Yao representing the largest ethnic group at 36.2%, followed by Lomwe at 25.2%, Ngoni at 14.2%, and Chewa at 10.0%.</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In terms of religious affiliation, the region features a complex mix of Christian (including Roman Catholic, Presbyterian, Anglican, and Seventh-Day Adventist denominations) and Muslim communities.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In contrast, Lilongwe represents a highly urbanized and peri-urban environment with greater access to mobile devices but a heightened demand for rapid, highly secure, and highly interactive digital services.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These demographic realities yield critical design implications: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Multi-Lingual and Audio-First Interface:</w:t>
      </w:r>
      <w:r w:rsidDel="00000000" w:rsidR="00000000" w:rsidRPr="00000000">
        <w:rPr>
          <w:rFonts w:ascii="Arial" w:cs="Arial" w:eastAsia="Arial" w:hAnsi="Arial"/>
          <w:color w:val="1f1f1f"/>
          <w:rtl w:val="0"/>
        </w:rPr>
        <w:t xml:space="preserve"> To accommodate varying literacy levels and linguistic distributions across Balaka and Lilongwe, the PWA must support Chichewa and Yao alongside English.</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Furthermore, drawing on the success of CCPF's personalized voice messages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and the voice biomarker capabilities of contemporary health platforms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 interface must incorporate robust audio-playback features.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This ensures that users with lower literacy can listen to SRHR articles in their preferred native dialect.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Cultural and Religious Nuance Integration:</w:t>
      </w:r>
      <w:r w:rsidDel="00000000" w:rsidR="00000000" w:rsidRPr="00000000">
        <w:rPr>
          <w:rFonts w:ascii="Arial" w:cs="Arial" w:eastAsia="Arial" w:hAnsi="Arial"/>
          <w:color w:val="1f1f1f"/>
          <w:rtl w:val="0"/>
        </w:rPr>
        <w:t xml:space="preserve"> In highly conservative or traditional areas, open discussion of SRHR topics remains deeply stigmatized. Visual elements must avoid explicit or graphic imagery that could provoke local backlash or compromise user safety if the screen is accidentally viewed by peers or guardians. Instead, the design should utilize abstract, non-suggestive, yet highly intuitive iconography to guide users.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Geographic and Landmark Mapping:</w:t>
      </w:r>
      <w:r w:rsidDel="00000000" w:rsidR="00000000" w:rsidRPr="00000000">
        <w:rPr>
          <w:rFonts w:ascii="Arial" w:cs="Arial" w:eastAsia="Arial" w:hAnsi="Arial"/>
          <w:color w:val="1f1f1f"/>
          <w:rtl w:val="0"/>
        </w:rPr>
        <w:t xml:space="preserve"> Traditional administrative boundaries and health facility locations must be mapped precisely. In Balaka, this includes referencing established Traditional Authorities—such as Kalembo, Amidu, Kachenga, and Toleza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—and key trading centers like Phalula, Liwonde, Nkaya, and Ulongwe.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Using these highly recognizable local landmarks within the app's location finder ensures intuitive navigation in rural environments.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Multi-Channel Interaction Design and Information Architecture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CHOICE digital ecosystem relies on a multi-channel architecture designed to reach adolescents across different levels of technology access. By coordinating inputs from five distinct communication channels, the ecosystem ensures that no youth is excluded due to hardware limitations.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Channel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Core Interactive Features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UI/UX Design Priority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Bandwidth Requirements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Integration Endpoint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Youth Choice PWA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Interactive map, forums, content hub, anonymous barrier reporting.</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Skeleton screens, local offline caching, high contrast.</w:t>
            </w:r>
            <w:r w:rsidDel="00000000" w:rsidR="00000000" w:rsidRPr="00000000">
              <w:rPr>
                <w:rFonts w:ascii="Arial" w:cs="Arial" w:eastAsia="Arial" w:hAnsi="Arial"/>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Offline-first; syncs on network detection.</w:t>
            </w:r>
            <w:r w:rsidDel="00000000" w:rsidR="00000000" w:rsidRPr="00000000">
              <w:rPr>
                <w:rFonts w:ascii="Arial" w:cs="Arial" w:eastAsia="Arial" w:hAnsi="Arial"/>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Secure API Gateway via HTTPS JSON payloads.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WhatsApp Business API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Automated topic-based Groups, Broadcast Channel, moderated Q&amp;A.</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Conversational menus, short-text responses, low-res media.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Low bandwidth; relies on network carrier.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Twilio / Viamo Webhooks to PostgreSQL.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Facebook Community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Moderated social groups, campaign feedback, interactive posts.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Public discussions, visual campaign cards, guided links.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Medium to high bandwidth.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Facebook Graph API to BI Dashboard.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CCPF Hotline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24/7 toll-free professional consultations, health triage, voice advice.</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Human-to-human voice, automated IVR menu, regional dialing.</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Voice-only; zero-rated on Airtel.</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SQL Replication of call metadata.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USSD Gateway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High-speed clinic locating and stock-out reporting.</w:t>
            </w:r>
            <w:r w:rsidDel="00000000" w:rsidR="00000000" w:rsidRPr="00000000">
              <w:rPr>
                <w:rFonts w:ascii="Arial" w:cs="Arial" w:eastAsia="Arial" w:hAnsi="Arial"/>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Numeric menus, character-limited screens, zero graphics.</w:t>
            </w:r>
            <w:r w:rsidDel="00000000" w:rsidR="00000000" w:rsidRPr="00000000">
              <w:rPr>
                <w:rFonts w:ascii="Arial" w:cs="Arial" w:eastAsia="Arial" w:hAnsi="Arial"/>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Zero data required; works on basic GSM.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SMS/USSD Gateway to BI Dashboard.</w:t>
            </w:r>
          </w:p>
        </w:tc>
      </w:tr>
    </w:tbl>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Progressive Web App UX Design Framework for Low-Connectivity Environments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Operating in low-bandwidth environments requires an uncompromising offline-first technical architecture. The PWA achieves this by utilizing Service Workers to intercept network requests and serve pre-cached content directly from the browser's Cache API.</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Visual Identity and Aesthetic Safety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visual language of the Youth Choice PWA must seamlessly balance the branding guidelines of Global Affairs Canada (GAC) and Oxfam Canada while maintaining a youth-friendly, non-institutional, and highly secure environment. The GAC brand guidelines mandate the use of Canada red and black in conjunction with a clean, high-contrast monochromatic palette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while the Oxfam identity is characterized by its signature green.</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proposed color palette utilizes a dark charcoal base for deep text contrast and low battery consumption. It incorporates Oxfam green as the primary active state color (signifying growth, safety, and health) and uses Canada red as an accent color strictly reserved for urgent notifications, such as critical barrier reports or active contraceptive stock-out alerts. The background is kept in an off-white or soft cream hue to reduce eye strain, especially under direct sunlight in rural testing locations.</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Offline-First Data Synchronization UX</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a user interacts with the app offline—for instance, by filing a barrier report or submitting a forum post—the data is stored locally in an IndexedDB database.</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To prevent data loss and ensure a seamless user experience, the system implements a strict, two-phase upload and download synchronization pipeline.</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 The specific phases of this process are structured below:</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Technical Phase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Data Flow Direction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User Interface Behavior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Recovery Mechanism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Local Cache Storage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Client-side only.</w:t>
            </w:r>
            <w:r w:rsidDel="00000000" w:rsidR="00000000" w:rsidRPr="00000000">
              <w:rPr>
                <w:rFonts w:ascii="Arial" w:cs="Arial" w:eastAsia="Arial" w:hAnsi="Arial"/>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"Saved for Offline" pin active; visual confirmation of offline availability.</w:t>
            </w:r>
            <w:r w:rsidDel="00000000" w:rsidR="00000000" w:rsidRPr="00000000">
              <w:rPr>
                <w:rFonts w:ascii="Arial" w:cs="Arial" w:eastAsia="Arial" w:hAnsi="Arial"/>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Automated fallback to local service worker cache.</w:t>
            </w:r>
            <w:r w:rsidDel="00000000" w:rsidR="00000000" w:rsidRPr="00000000">
              <w:rPr>
                <w:rFonts w:ascii="Arial" w:cs="Arial" w:eastAsia="Arial" w:hAnsi="Arial"/>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Outbox Queueing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Client to local DB.</w:t>
            </w:r>
            <w:r w:rsidDel="00000000" w:rsidR="00000000" w:rsidRPr="00000000">
              <w:rPr>
                <w:rFonts w:ascii="Arial" w:cs="Arial" w:eastAsia="Arial" w:hAnsi="Arial"/>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"Pending Sync" orange icon displays; post rendered instantly via Optimistic UI.</w:t>
            </w:r>
            <w:r w:rsidDel="00000000" w:rsidR="00000000" w:rsidRPr="00000000">
              <w:rPr>
                <w:rFonts w:ascii="Arial" w:cs="Arial" w:eastAsia="Arial" w:hAnsi="Arial"/>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FIFO queue persists even if browser is closed.</w:t>
            </w:r>
            <w:r w:rsidDel="00000000" w:rsidR="00000000" w:rsidRPr="00000000">
              <w:rPr>
                <w:rFonts w:ascii="Arial" w:cs="Arial" w:eastAsia="Arial" w:hAnsi="Arial"/>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Background Sync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DB to Cloud Server.</w:t>
            </w:r>
            <w:r w:rsidDel="00000000" w:rsidR="00000000" w:rsidRPr="00000000">
              <w:rPr>
                <w:rFonts w:ascii="Arial" w:cs="Arial" w:eastAsia="Arial" w:hAnsi="Arial"/>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"Synced" green double-check appears; background progress bar completes.</w:t>
            </w:r>
            <w:r w:rsidDel="00000000" w:rsidR="00000000" w:rsidRPr="00000000">
              <w:rPr>
                <w:rFonts w:ascii="Arial" w:cs="Arial" w:eastAsia="Arial" w:hAnsi="Arial"/>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Retry logic with exponential backoff on network re-entry.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Incremental Fetch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Cloud Server to Client.</w:t>
            </w:r>
            <w:r w:rsidDel="00000000" w:rsidR="00000000" w:rsidRPr="00000000">
              <w:rPr>
                <w:rFonts w:ascii="Arial" w:cs="Arial" w:eastAsia="Arial" w:hAnsi="Arial"/>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Screen layout refreshes with new articles; cached database updates.</w:t>
            </w:r>
            <w:r w:rsidDel="00000000" w:rsidR="00000000" w:rsidRPr="00000000">
              <w:rPr>
                <w:rFonts w:ascii="Arial" w:cs="Arial" w:eastAsia="Arial" w:hAnsi="Arial"/>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Delta-only sync based on last-sync timestamp.</w:t>
            </w:r>
            <w:r w:rsidDel="00000000" w:rsidR="00000000" w:rsidRPr="00000000">
              <w:rPr>
                <w:rFonts w:ascii="Arial" w:cs="Arial" w:eastAsia="Arial" w:hAnsi="Arial"/>
                <w:color w:val="444746"/>
                <w:sz w:val="24"/>
                <w:szCs w:val="24"/>
                <w:vertAlign w:val="superscript"/>
                <w:rtl w:val="0"/>
              </w:rPr>
              <w:t xml:space="preserve">18</w:t>
            </w:r>
          </w:p>
        </w:tc>
      </w:tr>
    </w:tbl>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Optimistic UI and Visual Connectivity Indicators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deliver a highly responsive experience, the PWA implements an Optimistic UI model. When a user submits a community chat post, the interface immediately renders the post as active rather than displaying a loading spinner.</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An orange sync-pending icon appears adjacent to the post; once background synchronization completes, this icon transitions smoothly to a green "Successfully Sent" double-check mark.</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Furthermore, the app will never display generic, frustrating browser error screens when offline. If a network request fails, the app uses a custom skeleton layout—a wireframe placeholder of the interface—to visually reassure the user that the app is loading cached data.</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For large media downloads, the interface explicitly displays the file size (e.g., "Download Audio Article: 1.2 MB").</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This empowers users in high-tariff environments to calculate data costs before initiating transfers.</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Confidentiality and Safety: Quick Exit and Discreet Mode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Given the sensitive nature of adolescent SRHR, user privacy is paramount. In highly restrictive social environments, an adolescent seeking information on contraception or STIs faces severe personal safety risks if discovered.</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To mitigate this risk, the Youth Choice PWA integrates a highly visible, persistent "Quick Exit" button.</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button is locked to a fixed position (such as the bottom-right corner) of every screen.</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Upon clicking, the button instantly redirects the browser to a completely neutral, high-traffic website, such as Google's homepage, completely masking the user's active browsing.</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Additionally, the PWA supports a "Discreet Mode." When activated, this mode toggles the visual layout of the app to resemble a generic educational or news portal, substituting neutral terminology for potentially sensitive SRHR headers on the home screen. When installed on the home screen of a mobile device, the PWA launcher icon is designed as a neutral, geometric logo with an innocuous label (e.g., "Youth Learn"), preventing discovery during casual device inspections by peers or family members.</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Component-Specific Interaction Flows and Prototype Blueprint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CHOICE digital ecosystem must solve distinct functional problems across its core components. The UI/UX solutions detailed below are designed to optimize accessibility and user trust.</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Services Near Me Map</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Standard digital mapping interfaces frequently fail in rural Malawi due to slow tile-loading speeds and high data overhead. The "Services Near Me" feature solves this by adopting a multi-layered offline vector map architecture using Leaflet.js and pre-compiled Mapbox Vector Tiles.</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Offline Tile Caching:</w:t>
      </w:r>
      <w:r w:rsidDel="00000000" w:rsidR="00000000" w:rsidRPr="00000000">
        <w:rPr>
          <w:rFonts w:ascii="Arial" w:cs="Arial" w:eastAsia="Arial" w:hAnsi="Arial"/>
          <w:color w:val="1f1f1f"/>
          <w:rtl w:val="0"/>
        </w:rPr>
        <w:t xml:space="preserve"> During the initial setup of the PWA, or when the user is on a high-speed Wi-Fi network, the app pre-caches a lightweight vector map of Balaka and Lilongwe.</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This approach utilizes significantly less storage than traditional raster maps.</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Manual Landmark-Based Fallback:</w:t>
      </w:r>
      <w:r w:rsidDel="00000000" w:rsidR="00000000" w:rsidRPr="00000000">
        <w:rPr>
          <w:rFonts w:ascii="Arial" w:cs="Arial" w:eastAsia="Arial" w:hAnsi="Arial"/>
          <w:color w:val="1f1f1f"/>
          <w:rtl w:val="0"/>
        </w:rPr>
        <w:t xml:space="preserve"> To avoid the continuous battery drain and privacy concerns associated with active GPS polling </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the interface provides a highly intuitive, hierarchical manual selector. Users can find services by selecting their District, followed by their Traditional Authority (e.g., T.A. Msamala or T.A. Kalembo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and finally their nearest trading center.</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Detailed Facility Cards:</w:t>
      </w:r>
      <w:r w:rsidDel="00000000" w:rsidR="00000000" w:rsidRPr="00000000">
        <w:rPr>
          <w:rFonts w:ascii="Arial" w:cs="Arial" w:eastAsia="Arial" w:hAnsi="Arial"/>
          <w:color w:val="1f1f1f"/>
          <w:rtl w:val="0"/>
        </w:rPr>
        <w:t xml:space="preserve"> Clicking a facility pin displays an offline-ready card detailing available stock (e.g., active contraceptive stock-out alerts), operational hours, youth-friendly services, and an offline routing line.</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SRHR Content Hub</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SRHR Content Hub is designed to serve as an engaging, educational space, drawing design inspiration from successful regional youth apps like UNFPA’s TuneMe.</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Card-Based Browsing:</w:t>
      </w:r>
      <w:r w:rsidDel="00000000" w:rsidR="00000000" w:rsidRPr="00000000">
        <w:rPr>
          <w:rFonts w:ascii="Arial" w:cs="Arial" w:eastAsia="Arial" w:hAnsi="Arial"/>
          <w:color w:val="1f1f1f"/>
          <w:rtl w:val="0"/>
        </w:rPr>
        <w:t xml:space="preserve"> Information is structured into distinct, color-coded categories covering puberty, safe sex, relationships, and rights.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 design uses large tap targets (minimum 48x48 pixels) to ensure easy navigation on low-end resistive or older capacitive touchscreens.</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Audio and Text Integration:</w:t>
      </w:r>
      <w:r w:rsidDel="00000000" w:rsidR="00000000" w:rsidRPr="00000000">
        <w:rPr>
          <w:rFonts w:ascii="Arial" w:cs="Arial" w:eastAsia="Arial" w:hAnsi="Arial"/>
          <w:color w:val="1f1f1f"/>
          <w:rtl w:val="0"/>
        </w:rPr>
        <w:t xml:space="preserve"> Recognizing that voice messaging is highly effective in Malawi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every article features a "Listen to Article" button. This triggers a localized, compressed audio file read in a natural, friendly tone by local educators.</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Moderated Forums and Chat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foster community support, the PWA provides moderated chat forums. To ensure these forums remain a safe space free of bullying, harassment, and exposure, the following UI/UX workflows are implemented:</w:t>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Pseudonymized Onboarding:</w:t>
      </w:r>
      <w:r w:rsidDel="00000000" w:rsidR="00000000" w:rsidRPr="00000000">
        <w:rPr>
          <w:rFonts w:ascii="Arial" w:cs="Arial" w:eastAsia="Arial" w:hAnsi="Arial"/>
          <w:color w:val="1f1f1f"/>
          <w:rtl w:val="0"/>
        </w:rPr>
        <w:t xml:space="preserve"> To protect user identity, the registration flow strictly forbids the use of real names or phone numbers.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During onboarding, the app utilizes an automated, youth-friendly "Username Generator" that combines friendly, neutral local words to create anonymous identifiers (e.g., "BalakaStar" or "ChamboRunner").</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Asynchronous Moderation:</w:t>
      </w:r>
      <w:r w:rsidDel="00000000" w:rsidR="00000000" w:rsidRPr="00000000">
        <w:rPr>
          <w:rFonts w:ascii="Arial" w:cs="Arial" w:eastAsia="Arial" w:hAnsi="Arial"/>
          <w:color w:val="1f1f1f"/>
          <w:rtl w:val="0"/>
        </w:rPr>
        <w:t xml:space="preserve"> Messages submitted to the chat are placed in a queue. Local moderators use a simplified, mobile-optimized dashboard to approve or flag posts. User interfaces clearly display whether a forum topic is "Live" (fully moderated in real-time) or "Asynchronous" (posts appear after moderator approval) to set clear expectations.</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Support and Service Access Barrier Reporting</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critical component of the CHOICE project is empowering youth to report barriers to care, such as service denial, stock-outs of SRHR products, or demands for bribes.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Simplified Form Design:</w:t>
      </w:r>
      <w:r w:rsidDel="00000000" w:rsidR="00000000" w:rsidRPr="00000000">
        <w:rPr>
          <w:rFonts w:ascii="Arial" w:cs="Arial" w:eastAsia="Arial" w:hAnsi="Arial"/>
          <w:color w:val="1f1f1f"/>
          <w:rtl w:val="0"/>
        </w:rPr>
        <w:t xml:space="preserve"> Reporting forms are restricted to three simple steps to minimize cognitive load. The UI prioritizes visual selection grids (e.g., tapping an icon representing "No Condoms" or "Staff Refused Service") rather than forcing heavy text entry.</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Anonymous and Secure Submission:</w:t>
      </w:r>
      <w:r w:rsidDel="00000000" w:rsidR="00000000" w:rsidRPr="00000000">
        <w:rPr>
          <w:rFonts w:ascii="Arial" w:cs="Arial" w:eastAsia="Arial" w:hAnsi="Arial"/>
          <w:color w:val="1f1f1f"/>
          <w:rtl w:val="0"/>
        </w:rPr>
        <w:t xml:space="preserve"> The interface clearly reassures the user that barrier reports are completely anonymous and encrypted. The submission flow utilizes the offline FIFO queue, ensuring that reports filed deep in rural communities are successfully transmitted the moment the device enters a network zone.</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Malawi Data Protection Act Compliance and Safety Framework</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regulatory landscape in Malawi changed fundamentally with the enactment of the </w:t>
      </w:r>
      <w:r w:rsidDel="00000000" w:rsidR="00000000" w:rsidRPr="00000000">
        <w:rPr>
          <w:rFonts w:ascii="Arial" w:cs="Arial" w:eastAsia="Arial" w:hAnsi="Arial"/>
          <w:b w:val="1"/>
          <w:bCs w:val="1"/>
          <w:color w:val="1f1f1f"/>
          <w:rtl w:val="0"/>
        </w:rPr>
        <w:t xml:space="preserve">Malawi Data Protection Act</w:t>
      </w:r>
      <w:r w:rsidDel="00000000" w:rsidR="00000000" w:rsidRPr="00000000">
        <w:rPr>
          <w:rFonts w:ascii="Arial" w:cs="Arial" w:eastAsia="Arial" w:hAnsi="Arial"/>
          <w:color w:val="1f1f1f"/>
          <w:rtl w:val="0"/>
        </w:rPr>
        <w:t xml:space="preserve"> (effective February 2024).</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As a result, any digital health intervention processing the personal data of Malawian citizens must maintain strict compliance under the regulatory oversight of the Malawi Communications Regulatory Authority (MACRA).</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Child Consent Paradox and Dual-Tier Onboarding</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Under Section 17 of the Malawi Data Protection Act, processing the personal data of a child—defined as any individual under the age of eighteen years </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—strictly requires the explicit, verified consent of a parent or legal guardian.</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For an adolescent SRHR application, enforcing a strict parental consent gate (such as requiring a parent’s phone number or signature) poses a catastrophic barrier to access. Vulnerable youth seeking confidential information on contraception or STIs would be forced to disclose this to their parents, entirely defeating the app's purpose and driving youth away from safe resources.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resolve this conflict while ensuring complete legal compliance, the Youth Choice PWA implements a highly innovative, legally compliant Dual-Tier Onboarding Framework:</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Dynamic Onboarding Tier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Target User Demographics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Personally Identifiable Data Collected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PWA Visual &amp; Access Flow</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Legal Justification (DPA 2023/2024)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Tier 1: Anonymous &amp; Public Health (Default)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Users under 18 </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shd w:fill="auto" w:val="clear"/>
                <w:rtl w:val="0"/>
              </w:rPr>
              <w:t xml:space="preserve"> or those desiring maximum privacy.</w:t>
            </w:r>
            <w:r w:rsidDel="00000000" w:rsidR="00000000" w:rsidRPr="00000000">
              <w:rPr>
                <w:rFonts w:ascii="Arial" w:cs="Arial" w:eastAsia="Arial" w:hAnsi="Arial"/>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Zero PII collected; username automatically generated.</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Full access to SRHR educational content.</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Offline mapping locator.</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Standard chat reading.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Excluded from Section 17 as no personal data is processed.</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shd w:fill="auto" w:val="clear"/>
                <w:rtl w:val="0"/>
              </w:rPr>
              <w:t xml:space="preserve"> Supported by public health exceptions under Section 16.</w:t>
            </w:r>
            <w:r w:rsidDel="00000000" w:rsidR="00000000" w:rsidRPr="00000000">
              <w:rPr>
                <w:rFonts w:ascii="Arial" w:cs="Arial" w:eastAsia="Arial" w:hAnsi="Arial"/>
                <w:color w:val="444746"/>
                <w:sz w:val="24"/>
                <w:szCs w:val="24"/>
                <w:vertAlign w:val="superscript"/>
                <w:rtl w:val="0"/>
              </w:rPr>
              <w:t xml:space="preserve">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Tier 2: Registered Personal Access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Users over 18 or under-18s with active guardian consent.</w:t>
            </w:r>
            <w:r w:rsidDel="00000000" w:rsidR="00000000" w:rsidRPr="00000000">
              <w:rPr>
                <w:rFonts w:ascii="Arial" w:cs="Arial" w:eastAsia="Arial" w:hAnsi="Arial"/>
                <w:color w:val="444746"/>
                <w:sz w:val="24"/>
                <w:szCs w:val="24"/>
                <w:vertAlign w:val="superscript"/>
                <w:rtl w:val="0"/>
              </w:rPr>
              <w:t xml:space="preserve">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Verified phone number, age, region, and district.</w:t>
            </w:r>
            <w:r w:rsidDel="00000000" w:rsidR="00000000" w:rsidRPr="00000000">
              <w:rPr>
                <w:rFonts w:ascii="Arial" w:cs="Arial" w:eastAsia="Arial" w:hAnsi="Arial"/>
                <w:color w:val="444746"/>
                <w:sz w:val="24"/>
                <w:szCs w:val="24"/>
                <w:vertAlign w:val="superscript"/>
                <w:rtl w:val="0"/>
              </w:rPr>
              <w:t xml:space="preserve">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Opt-in SMS updates.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Interactive moderated posting.</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Custom period tracking dashboard.</w:t>
            </w:r>
            <w:r w:rsidDel="00000000" w:rsidR="00000000" w:rsidRPr="00000000">
              <w:rPr>
                <w:rFonts w:ascii="Arial" w:cs="Arial" w:eastAsia="Arial" w:hAnsi="Arial"/>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Explicit, written consent under Section 16.</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shd w:fill="auto" w:val="clear"/>
                <w:rtl w:val="0"/>
              </w:rPr>
              <w:t xml:space="preserve"> Enforces verification mechanisms under Section 18.</w:t>
            </w:r>
            <w:r w:rsidDel="00000000" w:rsidR="00000000" w:rsidRPr="00000000">
              <w:rPr>
                <w:rFonts w:ascii="Arial" w:cs="Arial" w:eastAsia="Arial" w:hAnsi="Arial"/>
                <w:color w:val="444746"/>
                <w:sz w:val="24"/>
                <w:szCs w:val="24"/>
                <w:vertAlign w:val="superscript"/>
                <w:rtl w:val="0"/>
              </w:rPr>
              <w:t xml:space="preserve">29</w:t>
            </w:r>
          </w:p>
        </w:tc>
      </w:tr>
    </w:tbl>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Data Security and System-Wide Safeguards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Pursuant to Section 35 of the Act, the technical architecture implements rigorous security and organizational safeguards </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Encryption and Pseudonymization:</w:t>
      </w:r>
      <w:r w:rsidDel="00000000" w:rsidR="00000000" w:rsidRPr="00000000">
        <w:rPr>
          <w:rFonts w:ascii="Arial" w:cs="Arial" w:eastAsia="Arial" w:hAnsi="Arial"/>
          <w:color w:val="1f1f1f"/>
          <w:rtl w:val="0"/>
        </w:rPr>
        <w:t xml:space="preserve"> All personal data in transit is encrypted using TLS 1.3, while data at rest in the PostgreSQL database utilizes AES-256 field-level encryption.</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Data fields are systematically pseudonymized during transfer to the BI dashboard to prevent user identification.</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DPIA and Compliance Audit:</w:t>
      </w:r>
      <w:r w:rsidDel="00000000" w:rsidR="00000000" w:rsidRPr="00000000">
        <w:rPr>
          <w:rFonts w:ascii="Arial" w:cs="Arial" w:eastAsia="Arial" w:hAnsi="Arial"/>
          <w:color w:val="1f1f1f"/>
          <w:rtl w:val="0"/>
        </w:rPr>
        <w:t xml:space="preserve"> Prior to launching the digital ecosystem in Balaka and Lilongwe, the consultant will conduct a comprehensive Data Protection Impact Assessment (DPIA) and submit it to MACRA as required under Section 30.</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Data Protection Officer (DPO):</w:t>
      </w:r>
      <w:r w:rsidDel="00000000" w:rsidR="00000000" w:rsidRPr="00000000">
        <w:rPr>
          <w:rFonts w:ascii="Arial" w:cs="Arial" w:eastAsia="Arial" w:hAnsi="Arial"/>
          <w:color w:val="1f1f1f"/>
          <w:rtl w:val="0"/>
        </w:rPr>
        <w:t xml:space="preserve"> To oversee continuous compliance and maintain the Record of Processing Activities (RoPA) under Section 29, a qualified DPO will be designated.</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Breach Notification Protocol:</w:t>
      </w:r>
      <w:r w:rsidDel="00000000" w:rsidR="00000000" w:rsidRPr="00000000">
        <w:rPr>
          <w:rFonts w:ascii="Arial" w:cs="Arial" w:eastAsia="Arial" w:hAnsi="Arial"/>
          <w:color w:val="1f1f1f"/>
          <w:rtl w:val="0"/>
        </w:rPr>
        <w:t xml:space="preserve"> In the event of a security incident, the system will trigger automated alerts. Notifications will be delivered to MACRA and the affected data subjects within the statutory 72-hour window under Sections 36 and 37.</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Backend Technical Integration and Live BI Dashboard</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interactive live dashboard will be deployed using an open-source Business Intelligence platform, specifically Metabase or Apache Superset, hosted on a secure cloud server. This system aggregates, processes, and visualizes engagement metrics from all digital channels.</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Multi-Channel ETL Data Pipeline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 automated Extract, Transform, Load (ETL) pipeline will continuously ingest data streams from five channels:</w:t>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PWA Database:</w:t>
      </w:r>
      <w:r w:rsidDel="00000000" w:rsidR="00000000" w:rsidRPr="00000000">
        <w:rPr>
          <w:rFonts w:ascii="Arial" w:cs="Arial" w:eastAsia="Arial" w:hAnsi="Arial"/>
          <w:color w:val="1f1f1f"/>
          <w:rtl w:val="0"/>
        </w:rPr>
        <w:t xml:space="preserve"> Extracting aggregated, anonymized interaction logs, search queries, and barrier reports via secure REST API endpoints.</w:t>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WhatsApp Business API:</w:t>
      </w:r>
      <w:r w:rsidDel="00000000" w:rsidR="00000000" w:rsidRPr="00000000">
        <w:rPr>
          <w:rFonts w:ascii="Arial" w:cs="Arial" w:eastAsia="Arial" w:hAnsi="Arial"/>
          <w:color w:val="1f1f1f"/>
          <w:rtl w:val="0"/>
        </w:rPr>
        <w:t xml:space="preserve"> Webhook integrations pulling structural engagement statistics, such as active thread counts, message volumes, and topic-based group interactions.</w:t>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Facebook Community Page:</w:t>
      </w:r>
      <w:r w:rsidDel="00000000" w:rsidR="00000000" w:rsidRPr="00000000">
        <w:rPr>
          <w:rFonts w:ascii="Arial" w:cs="Arial" w:eastAsia="Arial" w:hAnsi="Arial"/>
          <w:color w:val="1f1f1f"/>
          <w:rtl w:val="0"/>
        </w:rPr>
        <w:t xml:space="preserve"> Aggregating campaign reach, user reactions, comments, and public post engagement metrics.</w:t>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USSD Gateway:</w:t>
      </w:r>
      <w:r w:rsidDel="00000000" w:rsidR="00000000" w:rsidRPr="00000000">
        <w:rPr>
          <w:rFonts w:ascii="Arial" w:cs="Arial" w:eastAsia="Arial" w:hAnsi="Arial"/>
          <w:color w:val="1f1f1f"/>
          <w:rtl w:val="0"/>
        </w:rPr>
        <w:t xml:space="preserve"> Collecting session counts, menu navigation choices, and primary facility locator requests.</w:t>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CCPF Hotline Database:</w:t>
      </w:r>
      <w:r w:rsidDel="00000000" w:rsidR="00000000" w:rsidRPr="00000000">
        <w:rPr>
          <w:rFonts w:ascii="Arial" w:cs="Arial" w:eastAsia="Arial" w:hAnsi="Arial"/>
          <w:color w:val="1f1f1f"/>
          <w:rtl w:val="0"/>
        </w:rPr>
        <w:t xml:space="preserve"> Daily automated replication of non-personally identifiable call metadata, caller district distributions, and facility referral resolutions.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Visualization and Analytical Indicators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dashboard is designed to render multi-dimensional visual components to facilitate rapid, data-driven decisions by VillageReach, Global Affairs Canada, and Oxfam Canada. To maintain data clarity and structure, these visualizations are mapped directly to corresponding decision flows: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Analytical Visualization Module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Source Channels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Under-the-Hood Metrics Captured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Programmatic Action Enabled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SRHR Product Stock-out Alerts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PWA reporting, USSD gateway, WhatsApp Q&amp;A.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Geographic coordinates, specific product types (pill, condom, implant), timestamp.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Immediate notification dispatch to regional Ministry of Health supply chain teams.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Channel Usage Trends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PWA, WhatsApp, FB, USSD, CCPF.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Daily active users, session duration, message volumes, call lengths.</w:t>
            </w:r>
            <w:r w:rsidDel="00000000" w:rsidR="00000000" w:rsidRPr="00000000">
              <w:rPr>
                <w:rFonts w:ascii="Arial" w:cs="Arial" w:eastAsia="Arial" w:hAnsi="Arial"/>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Dynamic resource allocation (e.g., shifting moderator capacity to active channels).</w:t>
            </w:r>
            <w:r w:rsidDel="00000000" w:rsidR="00000000" w:rsidRPr="00000000">
              <w:rPr>
                <w:rFonts w:ascii="Arial" w:cs="Arial" w:eastAsia="Arial" w:hAnsi="Arial"/>
                <w:color w:val="444746"/>
                <w:sz w:val="24"/>
                <w:szCs w:val="24"/>
                <w:vertAlign w:val="superscript"/>
                <w:rtl w:val="0"/>
              </w:rPr>
              <w:t xml:space="preserve">30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Campaign Effectiveness Map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Facebook Page, WhatsApp Broadcast, PWA Content.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Impressions, click-through rates, local referral card downloads.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Optimization of localized SRHR content and targeted educational pushes.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System Health &amp; Sync Latency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Service worker logs, API gateway.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Sync queues, server response times, active database connections.</w:t>
            </w:r>
            <w:r w:rsidDel="00000000" w:rsidR="00000000" w:rsidRPr="00000000">
              <w:rPr>
                <w:rFonts w:ascii="Arial" w:cs="Arial" w:eastAsia="Arial" w:hAnsi="Arial"/>
                <w:color w:val="444746"/>
                <w:sz w:val="24"/>
                <w:szCs w:val="24"/>
                <w:vertAlign w:val="superscript"/>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Real-time troubleshooting of API connections and cloud hosting adjustments.</w:t>
            </w:r>
          </w:p>
        </w:tc>
      </w:tr>
    </w:tbl>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Row-Level Security (RLS) and Spatial Access Separation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protect sensitive health data and prevent unauthorized surveillance, the dashboard enforces strict Row-Level Security (RLS) and Role-Based Access Control (RBAC). Users are restricted based on their operational mandates:</w:t>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District-Level Administrators:</w:t>
      </w:r>
      <w:r w:rsidDel="00000000" w:rsidR="00000000" w:rsidRPr="00000000">
        <w:rPr>
          <w:rFonts w:ascii="Arial" w:cs="Arial" w:eastAsia="Arial" w:hAnsi="Arial"/>
          <w:color w:val="1f1f1f"/>
          <w:rtl w:val="0"/>
        </w:rPr>
        <w:t xml:space="preserve"> Users from the Balaka District Council can only view aggregated metrics and barrier reports originating within Balaka.</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They are programmatically blocked from accessing data from Lilongwe.</w:t>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Health Facility Staff:</w:t>
      </w:r>
      <w:r w:rsidDel="00000000" w:rsidR="00000000" w:rsidRPr="00000000">
        <w:rPr>
          <w:rFonts w:ascii="Arial" w:cs="Arial" w:eastAsia="Arial" w:hAnsi="Arial"/>
          <w:color w:val="1f1f1f"/>
          <w:rtl w:val="0"/>
        </w:rPr>
        <w:t xml:space="preserve"> Local clinic staff are restricted to viewing metrics directly tied to their specific facility catchment areas, such as anonymous stock-out alerts and general satisfaction scores.</w:t>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National Programme Managers:</w:t>
      </w:r>
      <w:r w:rsidDel="00000000" w:rsidR="00000000" w:rsidRPr="00000000">
        <w:rPr>
          <w:rFonts w:ascii="Arial" w:cs="Arial" w:eastAsia="Arial" w:hAnsi="Arial"/>
          <w:color w:val="1f1f1f"/>
          <w:rtl w:val="0"/>
        </w:rPr>
        <w:t xml:space="preserve"> Super-administrators can view nationwide, high-level aggregated trends but are barred from accessing unmasked row-level personal data, ensuring complete alignment with privacy expectations.</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Technical Workplan, SLA, and Budget Allocation</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Executing the digital ecosystem for the CHOICE Project requires a structured timeline, clear performance standards, and a transparent, value-driven financial proposal.</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Setup Phase Workplan (4 Months)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initial deployment and setup phase is structured as a 4-month rapid-prototyping and deployment lifecycle: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Development Month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Technical Phase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Core Deliverables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Field Activity (Balaka &amp; Lilongwe)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Month 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Co-Design &amp; Prototyping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Co-design workshops with local youth.</w:t>
            </w:r>
            <w:r w:rsidDel="00000000" w:rsidR="00000000" w:rsidRPr="00000000">
              <w:rPr>
                <w:rFonts w:ascii="Arial" w:cs="Arial" w:eastAsia="Arial" w:hAnsi="Arial"/>
                <w:color w:val="444746"/>
                <w:sz w:val="24"/>
                <w:szCs w:val="24"/>
                <w:vertAlign w:val="superscript"/>
                <w:rtl w:val="0"/>
              </w:rPr>
              <w:t xml:space="preserve">32</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Interactive Figma PWA prototypes.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Legal privacy framework and DPIA draft.</w:t>
            </w:r>
            <w:r w:rsidDel="00000000" w:rsidR="00000000" w:rsidRPr="00000000">
              <w:rPr>
                <w:rFonts w:ascii="Arial" w:cs="Arial" w:eastAsia="Arial" w:hAnsi="Arial"/>
                <w:color w:val="444746"/>
                <w:sz w:val="24"/>
                <w:szCs w:val="24"/>
                <w:vertAlign w:val="superscript"/>
                <w:rtl w:val="0"/>
              </w:rPr>
              <w:t xml:space="preserve">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Stakeholder engagement and local youth focus groups in Lilongwe.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Month 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Core Development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Offline-first PWA core build.</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Pre-cached "Services Near Me" vector maps.</w:t>
            </w:r>
            <w:r w:rsidDel="00000000" w:rsidR="00000000" w:rsidRPr="00000000">
              <w:rPr>
                <w:rFonts w:ascii="Arial" w:cs="Arial" w:eastAsia="Arial" w:hAnsi="Arial"/>
                <w:color w:val="444746"/>
                <w:sz w:val="24"/>
                <w:szCs w:val="24"/>
                <w:vertAlign w:val="superscript"/>
                <w:rtl w:val="0"/>
              </w:rPr>
              <w:t xml:space="preserve">20</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Secure anonymous onboarding module.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WhatsApp API endpoint configuration.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Local landmark mapping and facility metadata collection in Balaka.</w:t>
            </w:r>
            <w:r w:rsidDel="00000000" w:rsidR="00000000" w:rsidRPr="00000000">
              <w:rPr>
                <w:rFonts w:ascii="Arial" w:cs="Arial" w:eastAsia="Arial" w:hAnsi="Arial"/>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Month 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Integration &amp; Dashboard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Apache Superset dashboard deployment.</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ETL data pipelines (PWA, WhatsApp, CCPF).</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End-to-end data encryption setup.</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Closed beta testing.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Initial field testing of PWA offline storage in low-connectivity areas.</w:t>
            </w:r>
            <w:r w:rsidDel="00000000" w:rsidR="00000000" w:rsidRPr="00000000">
              <w:rPr>
                <w:rFonts w:ascii="Arial" w:cs="Arial" w:eastAsia="Arial" w:hAnsi="Arial"/>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Month 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Field Testing &amp; Launch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Production server deployment.</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Moderator training sessions.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 Final MACRA compliance approval.</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Official system launch.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Intensive user-acceptance testing (UAT) and launch events in Balaka and Lilongwe.</w:t>
            </w:r>
          </w:p>
        </w:tc>
      </w:tr>
    </w:tbl>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Ongoing Maintenance Period and Service Level Agreement</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Following the successful launch of the ecosystem, the consultant will provide 12 months of continuous support under a strict Service Level Agreement (SLA):</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Maintenance Performance SLA Metric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Target Standard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Maintenance Delivery Schedule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SLA Enforcement &amp; Penalties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Hosting Server Uptime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718542" cy="239514"/>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18542" cy="23951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24/7 continuous monitoring.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Automated alert triggers; failover redirection within 5 minutes.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Critical Bug Resolution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1394374" cy="238763"/>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94374" cy="23876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Addressed as needed.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Developer dispatch within 2 hours of ticket generation.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Uptime Response 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1553918" cy="238331"/>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553918" cy="23833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24/7 coverage.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Direct escalation to primary system architect.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Performance Reporting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Submitted monthly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the 5th of the following month.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System log validation and dashboard metric aggregation.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Content Updates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Up to 6 updates included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During the contract period.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Deployment within 3 working days of receiving copy.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Dashboard Visualization Changes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Up to 3 major updates included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During the contract period.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Interactive validation and staging deployment within 5 days.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Moderator Refresher Training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Up to 2 sessions included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During the contract period.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Hybrid training workshops for local operators.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Service Completion Report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final report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Submitted at the end of the contract.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Full technical and operational overview delivery.</w:t>
            </w:r>
          </w:p>
        </w:tc>
      </w:tr>
    </w:tbl>
    <w:p w:rsidR="00000000" w:rsidDel="00000000" w:rsidP="00000000" w:rsidRDefault="00000000" w:rsidRPr="00000000" w14:paraId="000000FE">
      <w:pPr>
        <w:pStyle w:val="Heading3"/>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Costed Budget Allocation</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proposed budget is structured to optimize value-for-money, balancing high-quality technical implementation during the setup phase with stable, secure long-term operations during the maintenance period.</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Technical Phase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Line-Item Description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Cost (USD)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Setup Phase: Month 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User research, visual identity design, wireframing, and interactive prototyping.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$15,000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Setup Phase: Month 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PWA offline development, IndexedDB implementation, and offline map layers.</w:t>
            </w:r>
            <w:r w:rsidDel="00000000" w:rsidR="00000000" w:rsidRPr="00000000">
              <w:rPr>
                <w:rFonts w:ascii="Arial" w:cs="Arial" w:eastAsia="Arial" w:hAnsi="Arial"/>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$25,000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Setup Phase: Month 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Integration of WhatsApp Business API, Facebook Webhooks, and open-source BI dashboard.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$18,000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Setup Phase: Month 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Field testing, travel to Balaka and Lilongwe, MACRA compliance, and deployment.</w:t>
            </w:r>
            <w:r w:rsidDel="00000000" w:rsidR="00000000" w:rsidRPr="00000000">
              <w:rPr>
                <w:rFonts w:ascii="Arial" w:cs="Arial" w:eastAsia="Arial" w:hAnsi="Arial"/>
                <w:color w:val="444746"/>
                <w:sz w:val="24"/>
                <w:szCs w:val="24"/>
                <w:vertAlign w:val="superscript"/>
                <w:rtl w:val="0"/>
              </w:rPr>
              <w:t xml:space="preserve">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$12,000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Maintenance: Months 1-12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Continuous bug fixes, hosting monitoring, monthly reports, and compliance audits.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$15,000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Maintenance: SLA Updates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6 content updates, 3 major dashboard modifications, and 2 moderator refreshers.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Licensing &amp; Hosting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Cloud server hosting, SSL certificates, Twilio/WhatsApp API fees, and SMS gateways.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$5,000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Total Project Cost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Comprehensive Digital Ecosystem Implementation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$100,000</w:t>
            </w:r>
          </w:p>
        </w:tc>
      </w:tr>
    </w:tbl>
    <w:p w:rsidR="00000000" w:rsidDel="00000000" w:rsidP="00000000" w:rsidRDefault="00000000" w:rsidRPr="00000000" w14:paraId="0000011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Strategic Recommendations and Conclusions</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proposed digital ecosystem for the CHOICE Project represents a technically sound, legally compliant, and deeply user-centered solution designed specifically for the unique environment of Malawi. To ensure this system achieves maximum impact and sustainable success, several strategic recommendations are put forward:</w:t>
      </w:r>
    </w:p>
    <w:p w:rsidR="00000000" w:rsidDel="00000000" w:rsidP="00000000" w:rsidRDefault="00000000" w:rsidRPr="00000000" w14:paraId="0000011E">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Establish Strong Institutional Linkages:</w:t>
      </w:r>
      <w:r w:rsidDel="00000000" w:rsidR="00000000" w:rsidRPr="00000000">
        <w:rPr>
          <w:rFonts w:ascii="Arial" w:cs="Arial" w:eastAsia="Arial" w:hAnsi="Arial"/>
          <w:color w:val="1f1f1f"/>
          <w:rtl w:val="0"/>
        </w:rPr>
        <w:t xml:space="preserve"> Building on the legacy of CCPF, which successfully transitioned to full ownership by the Malawi Ministry of Health and Population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development team must ensure that the PWA, its database structures, and its dashboard are built entirely on open-source, government-compatible standards. This facilitates future integration into the National Data Centre or Ministry infrastructure, easing long-term national scale-up.</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11F">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Prioritize Zero-Rating Agreements:</w:t>
      </w:r>
      <w:r w:rsidDel="00000000" w:rsidR="00000000" w:rsidRPr="00000000">
        <w:rPr>
          <w:rFonts w:ascii="Arial" w:cs="Arial" w:eastAsia="Arial" w:hAnsi="Arial"/>
          <w:color w:val="1f1f1f"/>
          <w:rtl w:val="0"/>
        </w:rPr>
        <w:t xml:space="preserve"> Drawing on the critical learning that CCPF's success was driven by its zero-rated hotline in partnership with Airtel </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the CHOICE project partners should immediately initiate negotiations with major telecommunications providers in Malawi (Airtel and TNM). Securing zero-rating for the Youth Choice PWA's primary domain will eliminate data barriers, ensuring that even youth with zero account balances can access life-saving health resources.</w:t>
      </w:r>
    </w:p>
    <w:p w:rsidR="00000000" w:rsidDel="00000000" w:rsidP="00000000" w:rsidRDefault="00000000" w:rsidRPr="00000000" w14:paraId="00000120">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Empower Local Youth Champions:</w:t>
      </w:r>
      <w:r w:rsidDel="00000000" w:rsidR="00000000" w:rsidRPr="00000000">
        <w:rPr>
          <w:rFonts w:ascii="Arial" w:cs="Arial" w:eastAsia="Arial" w:hAnsi="Arial"/>
          <w:color w:val="1f1f1f"/>
          <w:rtl w:val="0"/>
        </w:rPr>
        <w:t xml:space="preserve"> Digital tools are most effective when paired with offline community engagement.</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The field testing in Balaka and Lilongwe should be utilized to train a core cohort of youth ambassadors. These local champions can personally introduce the PWA to their peers, distribute discreet offline installation materials, and guide users on how to safely navigate sensitive content using features like Discreet Mode and the Quick Exit button.</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implementing this comprehensive UI/UX design framework and technical architecture, the CHOICE Project will establish a highly resilient, deeply trusted digital sanctuary for Malawian youth, driving positive health behaviors and transforming adolescent SRHR for years to come.</w:t>
      </w:r>
    </w:p>
    <w:p w:rsidR="00000000" w:rsidDel="00000000" w:rsidP="00000000" w:rsidRDefault="00000000" w:rsidRPr="00000000" w14:paraId="00000122">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12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Chipatala cha pa Foni (CCPF) (Health Center By Phone) - VillageReach, accessed on May 28, 2026, </w:t>
      </w:r>
      <w:hyperlink r:id="rId9">
        <w:r w:rsidDel="00000000" w:rsidR="00000000" w:rsidRPr="00000000">
          <w:rPr>
            <w:rFonts w:ascii="Arial" w:cs="Arial" w:eastAsia="Arial" w:hAnsi="Arial"/>
            <w:color w:val="0000ee"/>
            <w:sz w:val="24"/>
            <w:szCs w:val="24"/>
            <w:u w:val="single"/>
            <w:rtl w:val="0"/>
          </w:rPr>
          <w:t xml:space="preserve">https://www.villagereach.org/project/health-center-by-phone-malawi/</w:t>
        </w:r>
      </w:hyperlink>
      <w:r w:rsidDel="00000000" w:rsidR="00000000" w:rsidRPr="00000000">
        <w:rPr>
          <w:rtl w:val="0"/>
        </w:rPr>
      </w:r>
    </w:p>
    <w:p w:rsidR="00000000" w:rsidDel="00000000" w:rsidP="00000000" w:rsidRDefault="00000000" w:rsidRPr="00000000" w14:paraId="0000012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Impact Evaluation of Chipatala cha pa Foni (CCPF), - VillageReach, accessed on May 28, 2026, </w:t>
      </w:r>
      <w:hyperlink r:id="rId10">
        <w:r w:rsidDel="00000000" w:rsidR="00000000" w:rsidRPr="00000000">
          <w:rPr>
            <w:rFonts w:ascii="Arial" w:cs="Arial" w:eastAsia="Arial" w:hAnsi="Arial"/>
            <w:color w:val="0000ee"/>
            <w:sz w:val="24"/>
            <w:szCs w:val="24"/>
            <w:u w:val="single"/>
            <w:rtl w:val="0"/>
          </w:rPr>
          <w:t xml:space="preserve">https://www.villagereach.org/wp-content/uploads/2020/02/VR_CCPFImpactEval_FINAL.-2_24_20.pdf</w:t>
        </w:r>
      </w:hyperlink>
      <w:r w:rsidDel="00000000" w:rsidR="00000000" w:rsidRPr="00000000">
        <w:rPr>
          <w:rtl w:val="0"/>
        </w:rPr>
      </w:r>
    </w:p>
    <w:p w:rsidR="00000000" w:rsidDel="00000000" w:rsidP="00000000" w:rsidRDefault="00000000" w:rsidRPr="00000000" w14:paraId="0000012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Balaka District - Wikipedia, accessed on May 28, 2026, </w:t>
      </w:r>
      <w:hyperlink r:id="rId11">
        <w:r w:rsidDel="00000000" w:rsidR="00000000" w:rsidRPr="00000000">
          <w:rPr>
            <w:rFonts w:ascii="Arial" w:cs="Arial" w:eastAsia="Arial" w:hAnsi="Arial"/>
            <w:color w:val="0000ee"/>
            <w:sz w:val="24"/>
            <w:szCs w:val="24"/>
            <w:u w:val="single"/>
            <w:rtl w:val="0"/>
          </w:rPr>
          <w:t xml:space="preserve">https://en.wikipedia.org/wiki/Balaka_District</w:t>
        </w:r>
      </w:hyperlink>
      <w:r w:rsidDel="00000000" w:rsidR="00000000" w:rsidRPr="00000000">
        <w:rPr>
          <w:rtl w:val="0"/>
        </w:rPr>
      </w:r>
    </w:p>
    <w:p w:rsidR="00000000" w:rsidDel="00000000" w:rsidP="00000000" w:rsidRDefault="00000000" w:rsidRPr="00000000" w14:paraId="0000012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Balaka Township, Malawi - Wikipedia, accessed on May 28, 2026, </w:t>
      </w:r>
      <w:hyperlink r:id="rId12">
        <w:r w:rsidDel="00000000" w:rsidR="00000000" w:rsidRPr="00000000">
          <w:rPr>
            <w:rFonts w:ascii="Arial" w:cs="Arial" w:eastAsia="Arial" w:hAnsi="Arial"/>
            <w:color w:val="0000ee"/>
            <w:sz w:val="24"/>
            <w:szCs w:val="24"/>
            <w:u w:val="single"/>
            <w:rtl w:val="0"/>
          </w:rPr>
          <w:t xml:space="preserve">https://en.wikipedia.org/wiki/Balaka_Township,_Malawi</w:t>
        </w:r>
      </w:hyperlink>
      <w:r w:rsidDel="00000000" w:rsidR="00000000" w:rsidRPr="00000000">
        <w:rPr>
          <w:rtl w:val="0"/>
        </w:rPr>
      </w:r>
    </w:p>
    <w:p w:rsidR="00000000" w:rsidDel="00000000" w:rsidP="00000000" w:rsidRDefault="00000000" w:rsidRPr="00000000" w14:paraId="0000012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Tune Me, accessed on May 28, 2026, </w:t>
      </w:r>
      <w:hyperlink r:id="rId13">
        <w:r w:rsidDel="00000000" w:rsidR="00000000" w:rsidRPr="00000000">
          <w:rPr>
            <w:rFonts w:ascii="Arial" w:cs="Arial" w:eastAsia="Arial" w:hAnsi="Arial"/>
            <w:color w:val="0000ee"/>
            <w:sz w:val="24"/>
            <w:szCs w:val="24"/>
            <w:u w:val="single"/>
            <w:rtl w:val="0"/>
          </w:rPr>
          <w:t xml:space="preserve">https://tuneme.org/</w:t>
        </w:r>
      </w:hyperlink>
      <w:r w:rsidDel="00000000" w:rsidR="00000000" w:rsidRPr="00000000">
        <w:rPr>
          <w:rtl w:val="0"/>
        </w:rPr>
      </w:r>
    </w:p>
    <w:p w:rsidR="00000000" w:rsidDel="00000000" w:rsidP="00000000" w:rsidRDefault="00000000" w:rsidRPr="00000000" w14:paraId="0000012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TuneMe: AI Stress &amp; Sleep Aid - App Store - Apple, accessed on May 28, 2026, </w:t>
      </w:r>
      <w:hyperlink r:id="rId14">
        <w:r w:rsidDel="00000000" w:rsidR="00000000" w:rsidRPr="00000000">
          <w:rPr>
            <w:rFonts w:ascii="Arial" w:cs="Arial" w:eastAsia="Arial" w:hAnsi="Arial"/>
            <w:color w:val="0000ee"/>
            <w:sz w:val="24"/>
            <w:szCs w:val="24"/>
            <w:u w:val="single"/>
            <w:rtl w:val="0"/>
          </w:rPr>
          <w:t xml:space="preserve">https://apps.apple.com/us/app/tuneme-ai-stress-sleep-aid/id6743079656</w:t>
        </w:r>
      </w:hyperlink>
      <w:r w:rsidDel="00000000" w:rsidR="00000000" w:rsidRPr="00000000">
        <w:rPr>
          <w:rtl w:val="0"/>
        </w:rPr>
      </w:r>
    </w:p>
    <w:p w:rsidR="00000000" w:rsidDel="00000000" w:rsidP="00000000" w:rsidRDefault="00000000" w:rsidRPr="00000000" w14:paraId="0000012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Conversations with a digital assistant — a voice UI case study | by Shankar | UX Collective, accessed on May 28, 2026, </w:t>
      </w:r>
      <w:hyperlink r:id="rId15">
        <w:r w:rsidDel="00000000" w:rsidR="00000000" w:rsidRPr="00000000">
          <w:rPr>
            <w:rFonts w:ascii="Arial" w:cs="Arial" w:eastAsia="Arial" w:hAnsi="Arial"/>
            <w:color w:val="0000ee"/>
            <w:sz w:val="24"/>
            <w:szCs w:val="24"/>
            <w:u w:val="single"/>
            <w:rtl w:val="0"/>
          </w:rPr>
          <w:t xml:space="preserve">https://uxdesign.cc/conversations-with-a-digital-assistant-efc272bf839c</w:t>
        </w:r>
      </w:hyperlink>
      <w:r w:rsidDel="00000000" w:rsidR="00000000" w:rsidRPr="00000000">
        <w:rPr>
          <w:rtl w:val="0"/>
        </w:rPr>
      </w:r>
    </w:p>
    <w:p w:rsidR="00000000" w:rsidDel="00000000" w:rsidP="00000000" w:rsidRDefault="00000000" w:rsidRPr="00000000" w14:paraId="0000012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 ELECTORAL COMMISSION CONSTITUENCY AND WARD BOUNDARY DESCRIPTIONS FOR CONFIRMATION 1. BALAKA 1.1. BALAKA ULONGWE CONSTITUENCY, accessed on May 28, 2026, </w:t>
      </w:r>
      <w:hyperlink r:id="rId16">
        <w:r w:rsidDel="00000000" w:rsidR="00000000" w:rsidRPr="00000000">
          <w:rPr>
            <w:rFonts w:ascii="Arial" w:cs="Arial" w:eastAsia="Arial" w:hAnsi="Arial"/>
            <w:color w:val="0000ee"/>
            <w:sz w:val="24"/>
            <w:szCs w:val="24"/>
            <w:u w:val="single"/>
            <w:rtl w:val="0"/>
          </w:rPr>
          <w:t xml:space="preserve">https://www.demarcation.mec.org.mw/descriptions/Balaka.pdf</w:t>
        </w:r>
      </w:hyperlink>
      <w:r w:rsidDel="00000000" w:rsidR="00000000" w:rsidRPr="00000000">
        <w:rPr>
          <w:rtl w:val="0"/>
        </w:rPr>
      </w:r>
    </w:p>
    <w:p w:rsidR="00000000" w:rsidDel="00000000" w:rsidP="00000000" w:rsidRDefault="00000000" w:rsidRPr="00000000" w14:paraId="0000012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TuneMe – Applications sur Google Play, accessed on May 28, 2026, </w:t>
      </w:r>
      <w:hyperlink r:id="rId17">
        <w:r w:rsidDel="00000000" w:rsidR="00000000" w:rsidRPr="00000000">
          <w:rPr>
            <w:rFonts w:ascii="Arial" w:cs="Arial" w:eastAsia="Arial" w:hAnsi="Arial"/>
            <w:color w:val="0000ee"/>
            <w:sz w:val="24"/>
            <w:szCs w:val="24"/>
            <w:u w:val="single"/>
            <w:rtl w:val="0"/>
          </w:rPr>
          <w:t xml:space="preserve">https://play.google.com/store/apps/details?id=org.unfpa.mhsp.tuneme&amp;hl=ln</w:t>
        </w:r>
      </w:hyperlink>
      <w:r w:rsidDel="00000000" w:rsidR="00000000" w:rsidRPr="00000000">
        <w:rPr>
          <w:rtl w:val="0"/>
        </w:rPr>
      </w:r>
    </w:p>
    <w:p w:rsidR="00000000" w:rsidDel="00000000" w:rsidP="00000000" w:rsidRDefault="00000000" w:rsidRPr="00000000" w14:paraId="0000012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Top 4 Offline UX Guidelines for PWAs, accessed on May 28, 2026, </w:t>
      </w:r>
      <w:hyperlink r:id="rId18">
        <w:r w:rsidDel="00000000" w:rsidR="00000000" w:rsidRPr="00000000">
          <w:rPr>
            <w:rFonts w:ascii="Arial" w:cs="Arial" w:eastAsia="Arial" w:hAnsi="Arial"/>
            <w:color w:val="0000ee"/>
            <w:sz w:val="24"/>
            <w:szCs w:val="24"/>
            <w:u w:val="single"/>
            <w:rtl w:val="0"/>
          </w:rPr>
          <w:t xml:space="preserve">https://magemart.com/blog/top-4-offline-ux-guidelines-for-pwas/</w:t>
        </w:r>
      </w:hyperlink>
      <w:r w:rsidDel="00000000" w:rsidR="00000000" w:rsidRPr="00000000">
        <w:rPr>
          <w:rtl w:val="0"/>
        </w:rPr>
      </w:r>
    </w:p>
    <w:p w:rsidR="00000000" w:rsidDel="00000000" w:rsidP="00000000" w:rsidRDefault="00000000" w:rsidRPr="00000000" w14:paraId="0000012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Progressive Web Apps: Offline UX Benchmarking - International Journal of Emerging Trends in Computer Science and Information Technology (IJETCSIT), accessed on May 28, 2026, </w:t>
      </w:r>
      <w:hyperlink r:id="rId19">
        <w:r w:rsidDel="00000000" w:rsidR="00000000" w:rsidRPr="00000000">
          <w:rPr>
            <w:rFonts w:ascii="Arial" w:cs="Arial" w:eastAsia="Arial" w:hAnsi="Arial"/>
            <w:color w:val="0000ee"/>
            <w:sz w:val="24"/>
            <w:szCs w:val="24"/>
            <w:u w:val="single"/>
            <w:rtl w:val="0"/>
          </w:rPr>
          <w:t xml:space="preserve">https://www.ijetcsit.org/index.php/ijetcsit/article/download/665/602/1274</w:t>
        </w:r>
      </w:hyperlink>
      <w:r w:rsidDel="00000000" w:rsidR="00000000" w:rsidRPr="00000000">
        <w:rPr>
          <w:rtl w:val="0"/>
        </w:rPr>
      </w:r>
    </w:p>
    <w:p w:rsidR="00000000" w:rsidDel="00000000" w:rsidP="00000000" w:rsidRDefault="00000000" w:rsidRPr="00000000" w14:paraId="0000012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Offline and background operation - Progressive web apps | MDN, accessed on May 28, 2026, </w:t>
      </w:r>
      <w:hyperlink r:id="rId20">
        <w:r w:rsidDel="00000000" w:rsidR="00000000" w:rsidRPr="00000000">
          <w:rPr>
            <w:rFonts w:ascii="Arial" w:cs="Arial" w:eastAsia="Arial" w:hAnsi="Arial"/>
            <w:color w:val="0000ee"/>
            <w:sz w:val="24"/>
            <w:szCs w:val="24"/>
            <w:u w:val="single"/>
            <w:rtl w:val="0"/>
          </w:rPr>
          <w:t xml:space="preserve">https://developer.mozilla.org/en-US/docs/Web/Progressive_web_apps/Guides/Offline_and_background_operation</w:t>
        </w:r>
      </w:hyperlink>
      <w:r w:rsidDel="00000000" w:rsidR="00000000" w:rsidRPr="00000000">
        <w:rPr>
          <w:rtl w:val="0"/>
        </w:rPr>
      </w:r>
    </w:p>
    <w:p w:rsidR="00000000" w:rsidDel="00000000" w:rsidP="00000000" w:rsidRDefault="00000000" w:rsidRPr="00000000" w14:paraId="0000012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Frontend System Design: Offline Support and Progressive Web Apps (PWAs), accessed on May 28, 2026, </w:t>
      </w:r>
      <w:hyperlink r:id="rId21">
        <w:r w:rsidDel="00000000" w:rsidR="00000000" w:rsidRPr="00000000">
          <w:rPr>
            <w:rFonts w:ascii="Arial" w:cs="Arial" w:eastAsia="Arial" w:hAnsi="Arial"/>
            <w:color w:val="0000ee"/>
            <w:sz w:val="24"/>
            <w:szCs w:val="24"/>
            <w:u w:val="single"/>
            <w:rtl w:val="0"/>
          </w:rPr>
          <w:t xml:space="preserve">https://dev.to/zeeshanali0704/frontend-system-design-offline-support-and-progressive-web-apps-pwas-4k8m</w:t>
        </w:r>
      </w:hyperlink>
      <w:r w:rsidDel="00000000" w:rsidR="00000000" w:rsidRPr="00000000">
        <w:rPr>
          <w:rtl w:val="0"/>
        </w:rPr>
      </w:r>
    </w:p>
    <w:p w:rsidR="00000000" w:rsidDel="00000000" w:rsidP="00000000" w:rsidRDefault="00000000" w:rsidRPr="00000000" w14:paraId="0000013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Chipatala Cha Pa Foni: Health Centre by Phone - Social Innovation ..., accessed on May 28, 2026, </w:t>
      </w:r>
      <w:hyperlink r:id="rId22">
        <w:r w:rsidDel="00000000" w:rsidR="00000000" w:rsidRPr="00000000">
          <w:rPr>
            <w:rFonts w:ascii="Arial" w:cs="Arial" w:eastAsia="Arial" w:hAnsi="Arial"/>
            <w:color w:val="0000ee"/>
            <w:sz w:val="24"/>
            <w:szCs w:val="24"/>
            <w:u w:val="single"/>
            <w:rtl w:val="0"/>
          </w:rPr>
          <w:t xml:space="preserve">https://socialinnovationinhealth.org/case-studies/chipatala-cha-pa-foni-health-centre-by-phone/</w:t>
        </w:r>
      </w:hyperlink>
      <w:r w:rsidDel="00000000" w:rsidR="00000000" w:rsidRPr="00000000">
        <w:rPr>
          <w:rtl w:val="0"/>
        </w:rPr>
      </w:r>
    </w:p>
    <w:p w:rsidR="00000000" w:rsidDel="00000000" w:rsidP="00000000" w:rsidRDefault="00000000" w:rsidRPr="00000000" w14:paraId="0000013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Providing a USSD location based clinic finder in South Africa: did it work? - PubMed, accessed on May 28, 2026, </w:t>
      </w:r>
      <w:hyperlink r:id="rId23">
        <w:r w:rsidDel="00000000" w:rsidR="00000000" w:rsidRPr="00000000">
          <w:rPr>
            <w:rFonts w:ascii="Arial" w:cs="Arial" w:eastAsia="Arial" w:hAnsi="Arial"/>
            <w:color w:val="0000ee"/>
            <w:sz w:val="24"/>
            <w:szCs w:val="24"/>
            <w:u w:val="single"/>
            <w:rtl w:val="0"/>
          </w:rPr>
          <w:t xml:space="preserve">https://pubmed.ncbi.nlm.nih.gov/25365670/</w:t>
        </w:r>
      </w:hyperlink>
      <w:r w:rsidDel="00000000" w:rsidR="00000000" w:rsidRPr="00000000">
        <w:rPr>
          <w:rtl w:val="0"/>
        </w:rPr>
      </w:r>
    </w:p>
    <w:p w:rsidR="00000000" w:rsidDel="00000000" w:rsidP="00000000" w:rsidRDefault="00000000" w:rsidRPr="00000000" w14:paraId="0000013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Recognizing Canada's International Assistance - VISUAL IDENTITY GUIDELINES, accessed on May 28, 2026, </w:t>
      </w:r>
      <w:hyperlink r:id="rId24">
        <w:r w:rsidDel="00000000" w:rsidR="00000000" w:rsidRPr="00000000">
          <w:rPr>
            <w:rFonts w:ascii="Arial" w:cs="Arial" w:eastAsia="Arial" w:hAnsi="Arial"/>
            <w:color w:val="0000ee"/>
            <w:sz w:val="24"/>
            <w:szCs w:val="24"/>
            <w:u w:val="single"/>
            <w:rtl w:val="0"/>
          </w:rPr>
          <w:t xml:space="preserve">https://www.international.gc.ca/world-monde/assets/pdfs/funding-financement/canada-aid-aide/canada-aid-aide-en.pdf</w:t>
        </w:r>
      </w:hyperlink>
      <w:r w:rsidDel="00000000" w:rsidR="00000000" w:rsidRPr="00000000">
        <w:rPr>
          <w:rtl w:val="0"/>
        </w:rPr>
      </w:r>
    </w:p>
    <w:p w:rsidR="00000000" w:rsidDel="00000000" w:rsidP="00000000" w:rsidRDefault="00000000" w:rsidRPr="00000000" w14:paraId="0000013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Oxfam Novib Logo &amp; Brand Assets (SVG, PNG and vector) - Brandfetch, accessed on May 28, 2026, </w:t>
      </w:r>
      <w:hyperlink r:id="rId25">
        <w:r w:rsidDel="00000000" w:rsidR="00000000" w:rsidRPr="00000000">
          <w:rPr>
            <w:rFonts w:ascii="Arial" w:cs="Arial" w:eastAsia="Arial" w:hAnsi="Arial"/>
            <w:color w:val="0000ee"/>
            <w:sz w:val="24"/>
            <w:szCs w:val="24"/>
            <w:u w:val="single"/>
            <w:rtl w:val="0"/>
          </w:rPr>
          <w:t xml:space="preserve">https://brandfetch.com/oxfamnovib.nl</w:t>
        </w:r>
      </w:hyperlink>
      <w:r w:rsidDel="00000000" w:rsidR="00000000" w:rsidRPr="00000000">
        <w:rPr>
          <w:rtl w:val="0"/>
        </w:rPr>
      </w:r>
    </w:p>
    <w:p w:rsidR="00000000" w:rsidDel="00000000" w:rsidP="00000000" w:rsidRDefault="00000000" w:rsidRPr="00000000" w14:paraId="0000013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Offline Synchronization | Mendix Documentation, accessed on May 28, 2026, </w:t>
      </w:r>
      <w:hyperlink r:id="rId26">
        <w:r w:rsidDel="00000000" w:rsidR="00000000" w:rsidRPr="00000000">
          <w:rPr>
            <w:rFonts w:ascii="Arial" w:cs="Arial" w:eastAsia="Arial" w:hAnsi="Arial"/>
            <w:color w:val="0000ee"/>
            <w:sz w:val="24"/>
            <w:szCs w:val="24"/>
            <w:u w:val="single"/>
            <w:rtl w:val="0"/>
          </w:rPr>
          <w:t xml:space="preserve">https://docs.mendix.com/refguide/mobile/building-efficient-mobile-apps/offlinefirst-data/synchronization/</w:t>
        </w:r>
      </w:hyperlink>
      <w:r w:rsidDel="00000000" w:rsidR="00000000" w:rsidRPr="00000000">
        <w:rPr>
          <w:rtl w:val="0"/>
        </w:rPr>
      </w:r>
    </w:p>
    <w:p w:rsidR="00000000" w:rsidDel="00000000" w:rsidP="00000000" w:rsidRDefault="00000000" w:rsidRPr="00000000" w14:paraId="0000013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Providing a quick exit button - Design Patterns for Mental Health, accessed on May 28, 2026, </w:t>
      </w:r>
      <w:hyperlink r:id="rId27">
        <w:r w:rsidDel="00000000" w:rsidR="00000000" w:rsidRPr="00000000">
          <w:rPr>
            <w:rFonts w:ascii="Arial" w:cs="Arial" w:eastAsia="Arial" w:hAnsi="Arial"/>
            <w:color w:val="0000ee"/>
            <w:sz w:val="24"/>
            <w:szCs w:val="24"/>
            <w:u w:val="single"/>
            <w:rtl w:val="0"/>
          </w:rPr>
          <w:t xml:space="preserve">https://designpatternsformentalhealth.org/examples/providing-a-quick-exit-button/</w:t>
        </w:r>
      </w:hyperlink>
      <w:r w:rsidDel="00000000" w:rsidR="00000000" w:rsidRPr="00000000">
        <w:rPr>
          <w:rtl w:val="0"/>
        </w:rPr>
      </w:r>
    </w:p>
    <w:p w:rsidR="00000000" w:rsidDel="00000000" w:rsidP="00000000" w:rsidRDefault="00000000" w:rsidRPr="00000000" w14:paraId="0000013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Offline System for 2D Indoor Navigation Utilizing Advanced Data Structures - MDPI, accessed on May 28, 2026, </w:t>
      </w:r>
      <w:hyperlink r:id="rId28">
        <w:r w:rsidDel="00000000" w:rsidR="00000000" w:rsidRPr="00000000">
          <w:rPr>
            <w:rFonts w:ascii="Arial" w:cs="Arial" w:eastAsia="Arial" w:hAnsi="Arial"/>
            <w:color w:val="0000ee"/>
            <w:sz w:val="24"/>
            <w:szCs w:val="24"/>
            <w:u w:val="single"/>
            <w:rtl w:val="0"/>
          </w:rPr>
          <w:t xml:space="preserve">https://www.mdpi.com/2227-9709/12/2/34</w:t>
        </w:r>
      </w:hyperlink>
      <w:r w:rsidDel="00000000" w:rsidR="00000000" w:rsidRPr="00000000">
        <w:rPr>
          <w:rtl w:val="0"/>
        </w:rPr>
      </w:r>
    </w:p>
    <w:p w:rsidR="00000000" w:rsidDel="00000000" w:rsidP="00000000" w:rsidRDefault="00000000" w:rsidRPr="00000000" w14:paraId="0000013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Using Offline Maps - ODK Docs, accessed on May 28, 2026, </w:t>
      </w:r>
      <w:hyperlink r:id="rId29">
        <w:r w:rsidDel="00000000" w:rsidR="00000000" w:rsidRPr="00000000">
          <w:rPr>
            <w:rFonts w:ascii="Arial" w:cs="Arial" w:eastAsia="Arial" w:hAnsi="Arial"/>
            <w:color w:val="0000ee"/>
            <w:sz w:val="24"/>
            <w:szCs w:val="24"/>
            <w:u w:val="single"/>
            <w:rtl w:val="0"/>
          </w:rPr>
          <w:t xml:space="preserve">https://docs.getodk.org/collect-offline-maps/</w:t>
        </w:r>
      </w:hyperlink>
      <w:r w:rsidDel="00000000" w:rsidR="00000000" w:rsidRPr="00000000">
        <w:rPr>
          <w:rtl w:val="0"/>
        </w:rPr>
      </w:r>
    </w:p>
    <w:p w:rsidR="00000000" w:rsidDel="00000000" w:rsidP="00000000" w:rsidRDefault="00000000" w:rsidRPr="00000000" w14:paraId="0000013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TuneMe Pro - App Store - Apple, accessed on May 28, 2026, </w:t>
      </w:r>
      <w:hyperlink r:id="rId30">
        <w:r w:rsidDel="00000000" w:rsidR="00000000" w:rsidRPr="00000000">
          <w:rPr>
            <w:rFonts w:ascii="Arial" w:cs="Arial" w:eastAsia="Arial" w:hAnsi="Arial"/>
            <w:color w:val="0000ee"/>
            <w:sz w:val="24"/>
            <w:szCs w:val="24"/>
            <w:u w:val="single"/>
            <w:rtl w:val="0"/>
          </w:rPr>
          <w:t xml:space="preserve">https://apps.apple.com/zw/app/tuneme-pro/id6744540590</w:t>
        </w:r>
      </w:hyperlink>
      <w:r w:rsidDel="00000000" w:rsidR="00000000" w:rsidRPr="00000000">
        <w:rPr>
          <w:rtl w:val="0"/>
        </w:rPr>
      </w:r>
    </w:p>
    <w:p w:rsidR="00000000" w:rsidDel="00000000" w:rsidP="00000000" w:rsidRDefault="00000000" w:rsidRPr="00000000" w14:paraId="0000013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TuneMe - Apps on Google Play, accessed on May 28, 2026, </w:t>
      </w:r>
      <w:hyperlink r:id="rId31">
        <w:r w:rsidDel="00000000" w:rsidR="00000000" w:rsidRPr="00000000">
          <w:rPr>
            <w:rFonts w:ascii="Arial" w:cs="Arial" w:eastAsia="Arial" w:hAnsi="Arial"/>
            <w:color w:val="0000ee"/>
            <w:sz w:val="24"/>
            <w:szCs w:val="24"/>
            <w:u w:val="single"/>
            <w:rtl w:val="0"/>
          </w:rPr>
          <w:t xml:space="preserve">https://play.google.com/store/apps/details?id=org.unfpa.mhsp.tuneme&amp;hl=en</w:t>
        </w:r>
      </w:hyperlink>
      <w:r w:rsidDel="00000000" w:rsidR="00000000" w:rsidRPr="00000000">
        <w:rPr>
          <w:rtl w:val="0"/>
        </w:rPr>
      </w:r>
    </w:p>
    <w:p w:rsidR="00000000" w:rsidDel="00000000" w:rsidP="00000000" w:rsidRDefault="00000000" w:rsidRPr="00000000" w14:paraId="0000013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UNFPA launched 'Just Ask!' – a chatbot for SRHR awareness - NPS Info, accessed on May 28, 2026, </w:t>
      </w:r>
      <w:hyperlink r:id="rId32">
        <w:r w:rsidDel="00000000" w:rsidR="00000000" w:rsidRPr="00000000">
          <w:rPr>
            <w:rFonts w:ascii="Arial" w:cs="Arial" w:eastAsia="Arial" w:hAnsi="Arial"/>
            <w:color w:val="0000ee"/>
            <w:sz w:val="24"/>
            <w:szCs w:val="24"/>
            <w:u w:val="single"/>
            <w:rtl w:val="0"/>
          </w:rPr>
          <w:t xml:space="preserve">https://nps-info.org/en/practice/unfpa-launched-just-ask-a-chatbot-for-srhr-awareness/</w:t>
        </w:r>
      </w:hyperlink>
      <w:r w:rsidDel="00000000" w:rsidR="00000000" w:rsidRPr="00000000">
        <w:rPr>
          <w:rtl w:val="0"/>
        </w:rPr>
      </w:r>
    </w:p>
    <w:p w:rsidR="00000000" w:rsidDel="00000000" w:rsidP="00000000" w:rsidRDefault="00000000" w:rsidRPr="00000000" w14:paraId="0000013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Malawi's Data Protection Act 2024: An overview - ITLawCo, accessed on May 28, 2026, </w:t>
      </w:r>
      <w:hyperlink r:id="rId33">
        <w:r w:rsidDel="00000000" w:rsidR="00000000" w:rsidRPr="00000000">
          <w:rPr>
            <w:rFonts w:ascii="Arial" w:cs="Arial" w:eastAsia="Arial" w:hAnsi="Arial"/>
            <w:color w:val="0000ee"/>
            <w:sz w:val="24"/>
            <w:szCs w:val="24"/>
            <w:u w:val="single"/>
            <w:rtl w:val="0"/>
          </w:rPr>
          <w:t xml:space="preserve">https://itlawco.com/focus-areas/data-protection-and-privacy/malawis-data-protection-act-2024-an-overview/</w:t>
        </w:r>
      </w:hyperlink>
      <w:r w:rsidDel="00000000" w:rsidR="00000000" w:rsidRPr="00000000">
        <w:rPr>
          <w:rtl w:val="0"/>
        </w:rPr>
      </w:r>
    </w:p>
    <w:p w:rsidR="00000000" w:rsidDel="00000000" w:rsidP="00000000" w:rsidRDefault="00000000" w:rsidRPr="00000000" w14:paraId="0000013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 Analysis of Malawi's New Data Protection Law: A Data Practitioner's Perspective | by Edith B. Milanzi PhD | Medium, accessed on May 28, 2026, </w:t>
      </w:r>
      <w:hyperlink r:id="rId34">
        <w:r w:rsidDel="00000000" w:rsidR="00000000" w:rsidRPr="00000000">
          <w:rPr>
            <w:rFonts w:ascii="Arial" w:cs="Arial" w:eastAsia="Arial" w:hAnsi="Arial"/>
            <w:color w:val="0000ee"/>
            <w:sz w:val="24"/>
            <w:szCs w:val="24"/>
            <w:u w:val="single"/>
            <w:rtl w:val="0"/>
          </w:rPr>
          <w:t xml:space="preserve">https://medium.com/@ebmilanzi/an-analysis-of-malawis-new-data-protection-law-a-data-practitioner-s-perspective-0c3bcf2d3a05</w:t>
        </w:r>
      </w:hyperlink>
      <w:r w:rsidDel="00000000" w:rsidR="00000000" w:rsidRPr="00000000">
        <w:rPr>
          <w:rtl w:val="0"/>
        </w:rPr>
      </w:r>
    </w:p>
    <w:p w:rsidR="00000000" w:rsidDel="00000000" w:rsidP="00000000" w:rsidRDefault="00000000" w:rsidRPr="00000000" w14:paraId="0000013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Malawi: Parliament introduces bill on data protection | News - DataGuidance, accessed on May 28, 2026, </w:t>
      </w:r>
      <w:hyperlink r:id="rId35">
        <w:r w:rsidDel="00000000" w:rsidR="00000000" w:rsidRPr="00000000">
          <w:rPr>
            <w:rFonts w:ascii="Arial" w:cs="Arial" w:eastAsia="Arial" w:hAnsi="Arial"/>
            <w:color w:val="0000ee"/>
            <w:sz w:val="24"/>
            <w:szCs w:val="24"/>
            <w:u w:val="single"/>
            <w:rtl w:val="0"/>
          </w:rPr>
          <w:t xml:space="preserve">https://www.dataguidance.com/news/malawi-parliament-introduces-bill-data-protection</w:t>
        </w:r>
      </w:hyperlink>
      <w:r w:rsidDel="00000000" w:rsidR="00000000" w:rsidRPr="00000000">
        <w:rPr>
          <w:rtl w:val="0"/>
        </w:rPr>
      </w:r>
    </w:p>
    <w:p w:rsidR="00000000" w:rsidDel="00000000" w:rsidP="00000000" w:rsidRDefault="00000000" w:rsidRPr="00000000" w14:paraId="0000013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DATA PROTECTION BILL, 2023 MEMORANDUM This Bill seeks to provide for a comprehensive legal framework for the regulation of th, accessed on May 28, 2026, </w:t>
      </w:r>
      <w:hyperlink r:id="rId36">
        <w:r w:rsidDel="00000000" w:rsidR="00000000" w:rsidRPr="00000000">
          <w:rPr>
            <w:rFonts w:ascii="Arial" w:cs="Arial" w:eastAsia="Arial" w:hAnsi="Arial"/>
            <w:color w:val="0000ee"/>
            <w:sz w:val="24"/>
            <w:szCs w:val="24"/>
            <w:u w:val="single"/>
            <w:rtl w:val="0"/>
          </w:rPr>
          <w:t xml:space="preserve">https://digmap.pppc.mw/wp-content/uploads/2024/02/Data-Protection-Bill-2023-Correct.pdf</w:t>
        </w:r>
      </w:hyperlink>
      <w:r w:rsidDel="00000000" w:rsidR="00000000" w:rsidRPr="00000000">
        <w:rPr>
          <w:rtl w:val="0"/>
        </w:rPr>
      </w:r>
    </w:p>
    <w:p w:rsidR="00000000" w:rsidDel="00000000" w:rsidP="00000000" w:rsidRDefault="00000000" w:rsidRPr="00000000" w14:paraId="0000013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Malawi's Data Protection Act: Aligning with the New Regulatory Framework, accessed on May 28, 2026, </w:t>
      </w:r>
      <w:hyperlink r:id="rId37">
        <w:r w:rsidDel="00000000" w:rsidR="00000000" w:rsidRPr="00000000">
          <w:rPr>
            <w:rFonts w:ascii="Arial" w:cs="Arial" w:eastAsia="Arial" w:hAnsi="Arial"/>
            <w:color w:val="0000ee"/>
            <w:sz w:val="24"/>
            <w:szCs w:val="24"/>
            <w:u w:val="single"/>
            <w:rtl w:val="0"/>
          </w:rPr>
          <w:t xml:space="preserve">https://www.techhiveadvisory.africa/insights/malawis-data-protection-act-aligning-to-the-new-regulatory-framework</w:t>
        </w:r>
      </w:hyperlink>
      <w:r w:rsidDel="00000000" w:rsidR="00000000" w:rsidRPr="00000000">
        <w:rPr>
          <w:rtl w:val="0"/>
        </w:rPr>
      </w:r>
    </w:p>
    <w:p w:rsidR="00000000" w:rsidDel="00000000" w:rsidP="00000000" w:rsidRDefault="00000000" w:rsidRPr="00000000" w14:paraId="0000014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Youth-centred digital health interventions - United Nations Population Fund, accessed on May 28, 2026, </w:t>
      </w:r>
      <w:hyperlink r:id="rId38">
        <w:r w:rsidDel="00000000" w:rsidR="00000000" w:rsidRPr="00000000">
          <w:rPr>
            <w:rFonts w:ascii="Arial" w:cs="Arial" w:eastAsia="Arial" w:hAnsi="Arial"/>
            <w:color w:val="0000ee"/>
            <w:sz w:val="24"/>
            <w:szCs w:val="24"/>
            <w:u w:val="single"/>
            <w:rtl w:val="0"/>
          </w:rPr>
          <w:t xml:space="preserve">https://www.unfpa.org/sites/default/files/pub-pdf/WHO_et_al_2020_Digital_Health_Youth_Framework.pdf</w:t>
        </w:r>
      </w:hyperlink>
      <w:r w:rsidDel="00000000" w:rsidR="00000000" w:rsidRPr="00000000">
        <w:rPr>
          <w:rtl w:val="0"/>
        </w:rPr>
      </w:r>
    </w:p>
    <w:p w:rsidR="00000000" w:rsidDel="00000000" w:rsidP="00000000" w:rsidRDefault="00000000" w:rsidRPr="00000000" w14:paraId="0000014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ndika" w:cs="Andika" w:eastAsia="Andika" w:hAnsi="Andika"/>
          <w:sz w:val="24"/>
          <w:szCs w:val="24"/>
          <w:rtl w:val="0"/>
        </w:rPr>
        <w:t xml:space="preserve">️Balaka District Council — Regional / local authority from Malawi - Development Aid, accessed on May 28, 2026, </w:t>
      </w:r>
      <w:hyperlink r:id="rId39">
        <w:r w:rsidDel="00000000" w:rsidR="00000000" w:rsidRPr="00000000">
          <w:rPr>
            <w:rFonts w:ascii="Arial" w:cs="Arial" w:eastAsia="Arial" w:hAnsi="Arial"/>
            <w:color w:val="0000ee"/>
            <w:sz w:val="24"/>
            <w:szCs w:val="24"/>
            <w:u w:val="single"/>
            <w:rtl w:val="0"/>
          </w:rPr>
          <w:t xml:space="preserve">https://www.developmentaid.org/organizations/view/437949/balaka-district-council</w:t>
        </w:r>
      </w:hyperlink>
      <w:r w:rsidDel="00000000" w:rsidR="00000000" w:rsidRPr="00000000">
        <w:rPr>
          <w:rtl w:val="0"/>
        </w:rPr>
      </w:r>
    </w:p>
    <w:p w:rsidR="00000000" w:rsidDel="00000000" w:rsidP="00000000" w:rsidRDefault="00000000" w:rsidRPr="00000000" w14:paraId="0000014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Tune Me Malawi - YouTube, accessed on May 28, 2026, </w:t>
      </w:r>
      <w:hyperlink r:id="rId40">
        <w:r w:rsidDel="00000000" w:rsidR="00000000" w:rsidRPr="00000000">
          <w:rPr>
            <w:rFonts w:ascii="Arial" w:cs="Arial" w:eastAsia="Arial" w:hAnsi="Arial"/>
            <w:color w:val="0000ee"/>
            <w:sz w:val="24"/>
            <w:szCs w:val="24"/>
            <w:u w:val="single"/>
            <w:rtl w:val="0"/>
          </w:rPr>
          <w:t xml:space="preserve">https://www.youtube.com/watch?v=zOlF-zkGseY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zOlF-zkGseY" TargetMode="External"/><Relationship Id="rId20" Type="http://schemas.openxmlformats.org/officeDocument/2006/relationships/hyperlink" Target="https://developer.mozilla.org/en-US/docs/Web/Progressive_web_apps/Guides/Offline_and_background_operation" TargetMode="External"/><Relationship Id="rId22" Type="http://schemas.openxmlformats.org/officeDocument/2006/relationships/hyperlink" Target="https://socialinnovationinhealth.org/case-studies/chipatala-cha-pa-foni-health-centre-by-phone/" TargetMode="External"/><Relationship Id="rId21" Type="http://schemas.openxmlformats.org/officeDocument/2006/relationships/hyperlink" Target="https://dev.to/zeeshanali0704/frontend-system-design-offline-support-and-progressive-web-apps-pwas-4k8m" TargetMode="External"/><Relationship Id="rId24" Type="http://schemas.openxmlformats.org/officeDocument/2006/relationships/hyperlink" Target="https://www.international.gc.ca/world-monde/assets/pdfs/funding-financement/canada-aid-aide/canada-aid-aide-en.pdf" TargetMode="External"/><Relationship Id="rId23" Type="http://schemas.openxmlformats.org/officeDocument/2006/relationships/hyperlink" Target="https://pubmed.ncbi.nlm.nih.gov/2536567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villagereach.org/project/health-center-by-phone-malawi/" TargetMode="External"/><Relationship Id="rId26" Type="http://schemas.openxmlformats.org/officeDocument/2006/relationships/hyperlink" Target="https://docs.mendix.com/refguide/mobile/building-efficient-mobile-apps/offlinefirst-data/synchronization/" TargetMode="External"/><Relationship Id="rId25" Type="http://schemas.openxmlformats.org/officeDocument/2006/relationships/hyperlink" Target="https://brandfetch.com/oxfamnovib.nl" TargetMode="External"/><Relationship Id="rId28" Type="http://schemas.openxmlformats.org/officeDocument/2006/relationships/hyperlink" Target="https://www.mdpi.com/2227-9709/12/2/34" TargetMode="External"/><Relationship Id="rId27" Type="http://schemas.openxmlformats.org/officeDocument/2006/relationships/hyperlink" Target="https://designpatternsformentalhealth.org/examples/providing-a-quick-exit-button/"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docs.getodk.org/collect-offline-maps/" TargetMode="External"/><Relationship Id="rId7" Type="http://schemas.openxmlformats.org/officeDocument/2006/relationships/image" Target="media/image1.png"/><Relationship Id="rId8" Type="http://schemas.openxmlformats.org/officeDocument/2006/relationships/image" Target="media/image2.png"/><Relationship Id="rId31" Type="http://schemas.openxmlformats.org/officeDocument/2006/relationships/hyperlink" Target="https://play.google.com/store/apps/details?id=org.unfpa.mhsp.tuneme&amp;hl=en" TargetMode="External"/><Relationship Id="rId30" Type="http://schemas.openxmlformats.org/officeDocument/2006/relationships/hyperlink" Target="https://apps.apple.com/zw/app/tuneme-pro/id6744540590" TargetMode="External"/><Relationship Id="rId11" Type="http://schemas.openxmlformats.org/officeDocument/2006/relationships/hyperlink" Target="https://en.wikipedia.org/wiki/Balaka_District" TargetMode="External"/><Relationship Id="rId33" Type="http://schemas.openxmlformats.org/officeDocument/2006/relationships/hyperlink" Target="https://itlawco.com/focus-areas/data-protection-and-privacy/malawis-data-protection-act-2024-an-overview/" TargetMode="External"/><Relationship Id="rId10" Type="http://schemas.openxmlformats.org/officeDocument/2006/relationships/hyperlink" Target="https://www.villagereach.org/wp-content/uploads/2020/02/VR_CCPFImpactEval_FINAL.-2_24_20.pdf" TargetMode="External"/><Relationship Id="rId32" Type="http://schemas.openxmlformats.org/officeDocument/2006/relationships/hyperlink" Target="https://nps-info.org/en/practice/unfpa-launched-just-ask-a-chatbot-for-srhr-awareness/" TargetMode="External"/><Relationship Id="rId13" Type="http://schemas.openxmlformats.org/officeDocument/2006/relationships/hyperlink" Target="https://tuneme.org/" TargetMode="External"/><Relationship Id="rId35" Type="http://schemas.openxmlformats.org/officeDocument/2006/relationships/hyperlink" Target="https://www.dataguidance.com/news/malawi-parliament-introduces-bill-data-protection" TargetMode="External"/><Relationship Id="rId12" Type="http://schemas.openxmlformats.org/officeDocument/2006/relationships/hyperlink" Target="https://en.wikipedia.org/wiki/Balaka_Township,_Malawi" TargetMode="External"/><Relationship Id="rId34" Type="http://schemas.openxmlformats.org/officeDocument/2006/relationships/hyperlink" Target="https://medium.com/@ebmilanzi/an-analysis-of-malawis-new-data-protection-law-a-data-practitioner-s-perspective-0c3bcf2d3a05" TargetMode="External"/><Relationship Id="rId15" Type="http://schemas.openxmlformats.org/officeDocument/2006/relationships/hyperlink" Target="https://uxdesign.cc/conversations-with-a-digital-assistant-efc272bf839c" TargetMode="External"/><Relationship Id="rId37" Type="http://schemas.openxmlformats.org/officeDocument/2006/relationships/hyperlink" Target="https://www.techhiveadvisory.africa/insights/malawis-data-protection-act-aligning-to-the-new-regulatory-framework" TargetMode="External"/><Relationship Id="rId14" Type="http://schemas.openxmlformats.org/officeDocument/2006/relationships/hyperlink" Target="https://apps.apple.com/us/app/tuneme-ai-stress-sleep-aid/id6743079656" TargetMode="External"/><Relationship Id="rId36" Type="http://schemas.openxmlformats.org/officeDocument/2006/relationships/hyperlink" Target="https://digmap.pppc.mw/wp-content/uploads/2024/02/Data-Protection-Bill-2023-Correct.pdf" TargetMode="External"/><Relationship Id="rId17" Type="http://schemas.openxmlformats.org/officeDocument/2006/relationships/hyperlink" Target="https://play.google.com/store/apps/details?id=org.unfpa.mhsp.tuneme&amp;hl=ln" TargetMode="External"/><Relationship Id="rId39" Type="http://schemas.openxmlformats.org/officeDocument/2006/relationships/hyperlink" Target="https://www.developmentaid.org/organizations/view/437949/balaka-district-council" TargetMode="External"/><Relationship Id="rId16" Type="http://schemas.openxmlformats.org/officeDocument/2006/relationships/hyperlink" Target="https://www.demarcation.mec.org.mw/descriptions/Balaka.pdf" TargetMode="External"/><Relationship Id="rId38" Type="http://schemas.openxmlformats.org/officeDocument/2006/relationships/hyperlink" Target="https://www.unfpa.org/sites/default/files/pub-pdf/WHO_et_al_2020_Digital_Health_Youth_Framework.pdf" TargetMode="External"/><Relationship Id="rId19" Type="http://schemas.openxmlformats.org/officeDocument/2006/relationships/hyperlink" Target="https://www.ijetcsit.org/index.php/ijetcsit/article/download/665/602/1274" TargetMode="External"/><Relationship Id="rId18" Type="http://schemas.openxmlformats.org/officeDocument/2006/relationships/hyperlink" Target="https://magemart.com/blog/top-4-offline-ux-guidelines-for-pwa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