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2A93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</w:t>
      </w:r>
    </w:p>
    <w:p w14:paraId="72FCEAE4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6BCC3472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«НАЦИОНАЛЬНЫЙ ИССЛЕДОВАТЕЛЬСКИЙ УНИВЕРСИТЕТ</w:t>
      </w:r>
    </w:p>
    <w:p w14:paraId="1404FC51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«ВЫСШАЯ ШКОЛА ЭКОНОМИКИ»</w:t>
      </w:r>
    </w:p>
    <w:p w14:paraId="1E506F7E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D1F3DE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853CE1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 «Основы анализа финансовой отчётности»</w:t>
      </w:r>
    </w:p>
    <w:p w14:paraId="3D7D442D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тему «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Анализ финансовой отчетности ПАО «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М.Видео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»</w:t>
      </w:r>
    </w:p>
    <w:p w14:paraId="09AD5448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Этап 2</w:t>
      </w:r>
    </w:p>
    <w:p w14:paraId="59871124" w14:textId="77777777" w:rsidR="00D93BCC" w:rsidRDefault="00D93BCC">
      <w:pPr>
        <w:spacing w:line="471" w:lineRule="auto"/>
        <w:rPr>
          <w:rFonts w:ascii="Times New Roman" w:eastAsia="Times New Roman" w:hAnsi="Times New Roman" w:cs="Times New Roman"/>
          <w:b/>
        </w:rPr>
      </w:pPr>
    </w:p>
    <w:p w14:paraId="2DA97AC1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D70E6F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51ADBD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Выполнили:</w:t>
      </w:r>
    </w:p>
    <w:p w14:paraId="1A82F757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Неустроев Василий</w:t>
      </w:r>
    </w:p>
    <w:p w14:paraId="2D57899E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Перепелова Екатерина</w:t>
      </w:r>
    </w:p>
    <w:p w14:paraId="1247310B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Саркисов Георгий</w:t>
      </w:r>
    </w:p>
    <w:p w14:paraId="503120C7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Скобелев Александр</w:t>
      </w:r>
    </w:p>
    <w:p w14:paraId="07C34B76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Шмырина</w:t>
      </w:r>
      <w:proofErr w:type="spellEnd"/>
      <w:r>
        <w:rPr>
          <w:rFonts w:ascii="Times New Roman" w:eastAsia="Times New Roman" w:hAnsi="Times New Roman" w:cs="Times New Roman"/>
        </w:rPr>
        <w:t xml:space="preserve"> Екатерина </w:t>
      </w:r>
    </w:p>
    <w:p w14:paraId="6A32A72F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Ятчени</w:t>
      </w:r>
      <w:proofErr w:type="spellEnd"/>
      <w:r>
        <w:rPr>
          <w:rFonts w:ascii="Times New Roman" w:eastAsia="Times New Roman" w:hAnsi="Times New Roman" w:cs="Times New Roman"/>
        </w:rPr>
        <w:t xml:space="preserve"> Иван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44B48E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CF7670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Руководитель:</w:t>
      </w:r>
    </w:p>
    <w:p w14:paraId="13FF9223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старший преп</w:t>
      </w:r>
      <w:r>
        <w:rPr>
          <w:rFonts w:ascii="Times New Roman" w:eastAsia="Times New Roman" w:hAnsi="Times New Roman" w:cs="Times New Roman"/>
        </w:rPr>
        <w:t>одаватель школы финансов</w:t>
      </w:r>
    </w:p>
    <w:p w14:paraId="4E960E53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факультета экономических наук </w:t>
      </w:r>
    </w:p>
    <w:p w14:paraId="6DB0562C" w14:textId="77777777" w:rsidR="00D93BCC" w:rsidRDefault="00B15B46">
      <w:pPr>
        <w:spacing w:line="471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Малофеева</w:t>
      </w:r>
      <w:proofErr w:type="spellEnd"/>
      <w:r>
        <w:rPr>
          <w:rFonts w:ascii="Times New Roman" w:eastAsia="Times New Roman" w:hAnsi="Times New Roman" w:cs="Times New Roman"/>
        </w:rPr>
        <w:t xml:space="preserve"> Татьяна Николаевна </w:t>
      </w:r>
    </w:p>
    <w:p w14:paraId="20E6D5E4" w14:textId="77777777" w:rsidR="00D93BCC" w:rsidRDefault="00D93BCC">
      <w:pPr>
        <w:spacing w:line="471" w:lineRule="auto"/>
        <w:jc w:val="right"/>
        <w:rPr>
          <w:rFonts w:ascii="Times New Roman" w:eastAsia="Times New Roman" w:hAnsi="Times New Roman" w:cs="Times New Roman"/>
        </w:rPr>
      </w:pPr>
    </w:p>
    <w:p w14:paraId="52A841B3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Москва</w:t>
      </w:r>
    </w:p>
    <w:p w14:paraId="1BED60DF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2022 г.</w:t>
      </w:r>
    </w:p>
    <w:p w14:paraId="7CAA139D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Качество управления активами</w:t>
      </w:r>
    </w:p>
    <w:p w14:paraId="23BF6E9D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Период оборачиваемости запасов</w:t>
      </w:r>
    </w:p>
    <w:p w14:paraId="02034B31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оборачиваемости запасов показывает скорость «движения» запасов, их использования и отпущения со складов компании, или через какое количество дней будут использованы все имеющиеся запасы. Для продолжительности оборота запасов не существует строго уст</w:t>
      </w:r>
      <w:r>
        <w:rPr>
          <w:rFonts w:ascii="Times New Roman" w:eastAsia="Times New Roman" w:hAnsi="Times New Roman" w:cs="Times New Roman"/>
        </w:rPr>
        <w:t>ановленного норматива, необходимо анализировать отдельные отрасли. Для ритейлеров оптимальным вариантом можно назвать тот, при котором отсутствует накопление избыточных запасов ввиду неэффективного управления складами и цепями поставок (как при слишком выс</w:t>
      </w:r>
      <w:r>
        <w:rPr>
          <w:rFonts w:ascii="Times New Roman" w:eastAsia="Times New Roman" w:hAnsi="Times New Roman" w:cs="Times New Roman"/>
        </w:rPr>
        <w:t>оком показателе), а также при котором не происходит истощение складских запасов, вследствие чего пустеют полки магазинов и наступают перебои в деятельности компании (как при слишком низком значении).</w:t>
      </w:r>
    </w:p>
    <w:p w14:paraId="53683539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графике мы видим, что за исследуемый период (2017-202</w:t>
      </w:r>
      <w:r>
        <w:rPr>
          <w:rFonts w:ascii="Times New Roman" w:eastAsia="Times New Roman" w:hAnsi="Times New Roman" w:cs="Times New Roman"/>
        </w:rPr>
        <w:t>1 гг.)  данный показатель Компании увеличился со 117 дней в 2017 году до 149 дней в 2021 году. Положительный тренд показателя в динамике, то есть рост количества дней в периоде, говорит об увеличении запасов на складах. В 2019 наблюдался сильный рост (до 1</w:t>
      </w:r>
      <w:r>
        <w:rPr>
          <w:rFonts w:ascii="Times New Roman" w:eastAsia="Times New Roman" w:hAnsi="Times New Roman" w:cs="Times New Roman"/>
        </w:rPr>
        <w:t>61 дня), причиной чему могло стать значительное увеличение выручки с продаж по сравнению с предыдущими периодами.</w:t>
      </w:r>
    </w:p>
    <w:p w14:paraId="5FCE9BCE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9095397" wp14:editId="05D8A765">
            <wp:extent cx="2994188" cy="180144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188" cy="1801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C2559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Рис.1. Период оборачиваемости запасов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>-Эльдорадо»</w:t>
      </w:r>
    </w:p>
    <w:p w14:paraId="6271964E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сравнивать период оборачиваемости запасов «</w:t>
      </w:r>
      <w:proofErr w:type="spellStart"/>
      <w:r>
        <w:rPr>
          <w:rFonts w:ascii="Times New Roman" w:eastAsia="Times New Roman" w:hAnsi="Times New Roman" w:cs="Times New Roman"/>
        </w:rPr>
        <w:t>М.Видео</w:t>
      </w:r>
      <w:proofErr w:type="spellEnd"/>
      <w:r>
        <w:rPr>
          <w:rFonts w:ascii="Times New Roman" w:eastAsia="Times New Roman" w:hAnsi="Times New Roman" w:cs="Times New Roman"/>
        </w:rPr>
        <w:t xml:space="preserve">-Эльдорадо» и его главного </w:t>
      </w:r>
      <w:r>
        <w:rPr>
          <w:rFonts w:ascii="Times New Roman" w:eastAsia="Times New Roman" w:hAnsi="Times New Roman" w:cs="Times New Roman"/>
        </w:rPr>
        <w:t xml:space="preserve">конкурента на рынке бытовой техники и электроники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>», мы увидим, что в течение 3-х лет (с 2019 г. по 2021 г.) показатель конкурента был значительно ниже, чем у нашей компании (107 дней в 2019 году, 99 дней в 2020 году и 98 дней в 2021 году). Из со</w:t>
      </w:r>
      <w:r>
        <w:rPr>
          <w:rFonts w:ascii="Times New Roman" w:eastAsia="Times New Roman" w:hAnsi="Times New Roman" w:cs="Times New Roman"/>
        </w:rPr>
        <w:t xml:space="preserve">бственного опыта мы можем сделать вывод, что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>» не допускает пустых полок, значит, Компания более эффективно использует свои запасы и реализовывает их. То есть существует вероятность, что «</w:t>
      </w:r>
      <w:proofErr w:type="spellStart"/>
      <w:r>
        <w:rPr>
          <w:rFonts w:ascii="Times New Roman" w:eastAsia="Times New Roman" w:hAnsi="Times New Roman" w:cs="Times New Roman"/>
        </w:rPr>
        <w:t>М.Видео</w:t>
      </w:r>
      <w:proofErr w:type="spellEnd"/>
      <w:r>
        <w:rPr>
          <w:rFonts w:ascii="Times New Roman" w:eastAsia="Times New Roman" w:hAnsi="Times New Roman" w:cs="Times New Roman"/>
        </w:rPr>
        <w:t>-Эльдорадо» испытывают сложности с оптимизацией исп</w:t>
      </w:r>
      <w:r>
        <w:rPr>
          <w:rFonts w:ascii="Times New Roman" w:eastAsia="Times New Roman" w:hAnsi="Times New Roman" w:cs="Times New Roman"/>
        </w:rPr>
        <w:t>ользования товаров на складе и управлением поставками. Хотя значение чуть меньше полугода можно считать оптимальным для компаний, осуществляющих продажу бытовой техники и электроники, модели которых обновляются на чаще одного раза в год.</w:t>
      </w:r>
    </w:p>
    <w:p w14:paraId="3AA01969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39A7181" wp14:editId="37015B53">
            <wp:extent cx="3246600" cy="194060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600" cy="1940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B9A47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Рис.2. Сравнение</w:t>
      </w:r>
      <w:r>
        <w:rPr>
          <w:rFonts w:ascii="Times New Roman" w:eastAsia="Times New Roman" w:hAnsi="Times New Roman" w:cs="Times New Roman"/>
          <w:i/>
        </w:rPr>
        <w:t xml:space="preserve"> периода оборачиваемости запасов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-Эльдорадо» и «DNS </w:t>
      </w:r>
      <w:proofErr w:type="spellStart"/>
      <w:r>
        <w:rPr>
          <w:rFonts w:ascii="Times New Roman" w:eastAsia="Times New Roman" w:hAnsi="Times New Roman" w:cs="Times New Roman"/>
          <w:i/>
        </w:rPr>
        <w:t>Group</w:t>
      </w:r>
      <w:proofErr w:type="spellEnd"/>
      <w:r>
        <w:rPr>
          <w:rFonts w:ascii="Times New Roman" w:eastAsia="Times New Roman" w:hAnsi="Times New Roman" w:cs="Times New Roman"/>
          <w:i/>
        </w:rPr>
        <w:t>»</w:t>
      </w:r>
    </w:p>
    <w:p w14:paraId="115A5410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Период погашения кредиторской задолженности </w:t>
      </w:r>
    </w:p>
    <w:p w14:paraId="51579B1D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погашения кредиторской задолженности обозначает количество дней, в течение которых кредиторская задолженность остается непогашенной, то е</w:t>
      </w:r>
      <w:r>
        <w:rPr>
          <w:rFonts w:ascii="Times New Roman" w:eastAsia="Times New Roman" w:hAnsi="Times New Roman" w:cs="Times New Roman"/>
        </w:rPr>
        <w:t>сть средний срок возврата долгов предприятия. Чем больше дней кредиторская задолженность остается непогашенной, тем лучше для компании, но хуже для кредиторов. Показатель помогает определить, насколько эффективно компания управляет кредиторской задолженнос</w:t>
      </w:r>
      <w:r>
        <w:rPr>
          <w:rFonts w:ascii="Times New Roman" w:eastAsia="Times New Roman" w:hAnsi="Times New Roman" w:cs="Times New Roman"/>
        </w:rPr>
        <w:t>тью.</w:t>
      </w:r>
    </w:p>
    <w:p w14:paraId="28E6954F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графике мы видим, что за исследуемый период (2017-2021 гг.)  данный показатель Компании увеличился со 173 дней в 2017 году до 213 дней в 2021 году. В 2019 году наблюдается значительное увеличение периода погашения кредиторской задолженности до 220 </w:t>
      </w:r>
      <w:r>
        <w:rPr>
          <w:rFonts w:ascii="Times New Roman" w:eastAsia="Times New Roman" w:hAnsi="Times New Roman" w:cs="Times New Roman"/>
        </w:rPr>
        <w:t>дней, что может быть вызвано увеличением торговой кредиторской задолженности. В 2021 году данный показатель уменьшился, но незначительно, что может быть связано с резким увеличением себестоимости реализации. Стоит отметить, что срок возврата более, чем 5 м</w:t>
      </w:r>
      <w:r>
        <w:rPr>
          <w:rFonts w:ascii="Times New Roman" w:eastAsia="Times New Roman" w:hAnsi="Times New Roman" w:cs="Times New Roman"/>
        </w:rPr>
        <w:t>есяцев, говорит о том, что Компания активно использует возможности внешнего финансирования текущей деятельности за счет использования различных отсрочек.</w:t>
      </w:r>
    </w:p>
    <w:p w14:paraId="30FAAF26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A19437D" wp14:editId="463EDF10">
            <wp:extent cx="2989202" cy="17954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202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E082B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Рис.3. Период погашения кредиторской задолженности в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>-Эльдорадо»</w:t>
      </w:r>
    </w:p>
    <w:p w14:paraId="472C1869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сравнивать период пога</w:t>
      </w:r>
      <w:r>
        <w:rPr>
          <w:rFonts w:ascii="Times New Roman" w:eastAsia="Times New Roman" w:hAnsi="Times New Roman" w:cs="Times New Roman"/>
        </w:rPr>
        <w:t>шения кредиторской задолженности «</w:t>
      </w:r>
      <w:proofErr w:type="spellStart"/>
      <w:r>
        <w:rPr>
          <w:rFonts w:ascii="Times New Roman" w:eastAsia="Times New Roman" w:hAnsi="Times New Roman" w:cs="Times New Roman"/>
        </w:rPr>
        <w:t>М.Видео</w:t>
      </w:r>
      <w:proofErr w:type="spellEnd"/>
      <w:r>
        <w:rPr>
          <w:rFonts w:ascii="Times New Roman" w:eastAsia="Times New Roman" w:hAnsi="Times New Roman" w:cs="Times New Roman"/>
        </w:rPr>
        <w:t xml:space="preserve">-Эльдорадо» и его главного конкурента на рынке бытовой техники и электроники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», мы увидим, что в течение 3-х лет (с 2019 г. по 2021 г.) показатель конкурента был значительно ниже, чем у нашей компании (34 </w:t>
      </w:r>
      <w:r>
        <w:rPr>
          <w:rFonts w:ascii="Times New Roman" w:eastAsia="Times New Roman" w:hAnsi="Times New Roman" w:cs="Times New Roman"/>
        </w:rPr>
        <w:t xml:space="preserve">дня в 2019 году, 36 дней в 2020 году и 40 дней в 20201 году). Значение данного показателя нашей Компании гораздо выше показателя конкурента на протяжении 3-х лет, что может свидетельствовать о лучшей финансовой устойчивости и платежеспособности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>.</w:t>
      </w:r>
    </w:p>
    <w:p w14:paraId="01B1563B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5003BAE" wp14:editId="24FE7E5E">
            <wp:extent cx="3279938" cy="197483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938" cy="1974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5BFFF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Рис.4. Сравнение периода погашения кредиторской задолженности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-Эльдорадо» и «DNS </w:t>
      </w:r>
      <w:proofErr w:type="spellStart"/>
      <w:r>
        <w:rPr>
          <w:rFonts w:ascii="Times New Roman" w:eastAsia="Times New Roman" w:hAnsi="Times New Roman" w:cs="Times New Roman"/>
          <w:i/>
        </w:rPr>
        <w:t>Group</w:t>
      </w:r>
      <w:proofErr w:type="spellEnd"/>
      <w:r>
        <w:rPr>
          <w:rFonts w:ascii="Times New Roman" w:eastAsia="Times New Roman" w:hAnsi="Times New Roman" w:cs="Times New Roman"/>
          <w:i/>
        </w:rPr>
        <w:t>»</w:t>
      </w:r>
    </w:p>
    <w:p w14:paraId="0DE353B6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Период погашения дебиторской задолженности </w:t>
      </w:r>
    </w:p>
    <w:p w14:paraId="650F2ED1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погашения дебиторской задолженности показывает, сколько дней в среднем требуется для оплаты дебиторской з</w:t>
      </w:r>
      <w:r>
        <w:rPr>
          <w:rFonts w:ascii="Times New Roman" w:eastAsia="Times New Roman" w:hAnsi="Times New Roman" w:cs="Times New Roman"/>
        </w:rPr>
        <w:t>адолженности, то есть срок, в течение которого компания ожидает поступления денег. Чем выше данная продолжительность, тем выше риск такой задолженности не быть выплаченной и, следовательно, стать безнадежной. Поэтому данный показатель является одним из осн</w:t>
      </w:r>
      <w:r>
        <w:rPr>
          <w:rFonts w:ascii="Times New Roman" w:eastAsia="Times New Roman" w:hAnsi="Times New Roman" w:cs="Times New Roman"/>
        </w:rPr>
        <w:t>овных, так как помогает стабилизировать оборот дебиторской задолженности на оптимальном уровне.</w:t>
      </w:r>
    </w:p>
    <w:p w14:paraId="12840459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течение всего анализируемого периода (2017-2021 гг.) данный показатель увеличивался с 30 дней в 2017 году до 37 дней в 2021 году, что является отрицательной т</w:t>
      </w:r>
      <w:r>
        <w:rPr>
          <w:rFonts w:ascii="Times New Roman" w:eastAsia="Times New Roman" w:hAnsi="Times New Roman" w:cs="Times New Roman"/>
        </w:rPr>
        <w:t>енденцией: должники медленнее возвращают деньги, компания становится более зависимой от внешних источников финансирования. Однако следует отметить, что такая тенденция может положительным образом сказаться на отношениях Компании с клиентами, осуществляющим</w:t>
      </w:r>
      <w:r>
        <w:rPr>
          <w:rFonts w:ascii="Times New Roman" w:eastAsia="Times New Roman" w:hAnsi="Times New Roman" w:cs="Times New Roman"/>
        </w:rPr>
        <w:t>и покупки в кредит, ведь для них могут оказаться очень выгодными данные условия оплаты задолженности, поэтому они будут отдавать преимущество именно нашей Компании как продавцу с более выгодными для них сроками оплаты.</w:t>
      </w:r>
    </w:p>
    <w:p w14:paraId="6DA7823A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242B53D" wp14:editId="642FBDE0">
            <wp:extent cx="3405059" cy="2051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059" cy="20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BD83E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Рис.5. Период погашения дебиторской</w:t>
      </w:r>
      <w:r>
        <w:rPr>
          <w:rFonts w:ascii="Times New Roman" w:eastAsia="Times New Roman" w:hAnsi="Times New Roman" w:cs="Times New Roman"/>
          <w:i/>
        </w:rPr>
        <w:t xml:space="preserve"> задолженности в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>-Эльдорадо»</w:t>
      </w:r>
    </w:p>
    <w:p w14:paraId="68E38F06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сравнивать период погашения кредиторской задолженности «</w:t>
      </w:r>
      <w:proofErr w:type="spellStart"/>
      <w:r>
        <w:rPr>
          <w:rFonts w:ascii="Times New Roman" w:eastAsia="Times New Roman" w:hAnsi="Times New Roman" w:cs="Times New Roman"/>
        </w:rPr>
        <w:t>М.Видео</w:t>
      </w:r>
      <w:proofErr w:type="spellEnd"/>
      <w:r>
        <w:rPr>
          <w:rFonts w:ascii="Times New Roman" w:eastAsia="Times New Roman" w:hAnsi="Times New Roman" w:cs="Times New Roman"/>
        </w:rPr>
        <w:t xml:space="preserve">-Эльдорадо» и его главного конкурента на рынке бытовой техники и электроники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», мы опять же увидим, что в течение 3-х лет (с 2019 г. по 2021 </w:t>
      </w:r>
      <w:r>
        <w:rPr>
          <w:rFonts w:ascii="Times New Roman" w:eastAsia="Times New Roman" w:hAnsi="Times New Roman" w:cs="Times New Roman"/>
        </w:rPr>
        <w:t xml:space="preserve">г.) показатель конкурента был значительно ниже, чем у нашей компании (9 дней в 2019 году, 7 дней в 2020 году и 10 дней в 20201 году). Можно предположить, что это связано с небольшой долей оптовой торговли «DNS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>» и значительной долей розничной, ведь оп</w:t>
      </w:r>
      <w:r>
        <w:rPr>
          <w:rFonts w:ascii="Times New Roman" w:eastAsia="Times New Roman" w:hAnsi="Times New Roman" w:cs="Times New Roman"/>
        </w:rPr>
        <w:t>лата второй осуществляется преимущественно при покупке сразу на кассе.</w:t>
      </w:r>
    </w:p>
    <w:p w14:paraId="7CF2C479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94169D" wp14:editId="4A344F83">
            <wp:extent cx="3256125" cy="195185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125" cy="1951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85A5C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Рис.6. Сравнение периода погашения дебиторской задолженности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-Эльдорадо» и «DNS </w:t>
      </w:r>
      <w:proofErr w:type="spellStart"/>
      <w:r>
        <w:rPr>
          <w:rFonts w:ascii="Times New Roman" w:eastAsia="Times New Roman" w:hAnsi="Times New Roman" w:cs="Times New Roman"/>
          <w:i/>
        </w:rPr>
        <w:t>Group</w:t>
      </w:r>
      <w:proofErr w:type="spellEnd"/>
      <w:r>
        <w:rPr>
          <w:rFonts w:ascii="Times New Roman" w:eastAsia="Times New Roman" w:hAnsi="Times New Roman" w:cs="Times New Roman"/>
          <w:i/>
        </w:rPr>
        <w:t>»</w:t>
      </w:r>
    </w:p>
    <w:p w14:paraId="265F2D67" w14:textId="77777777" w:rsidR="00D93BCC" w:rsidRDefault="00B15B46">
      <w:pPr>
        <w:spacing w:line="471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Денежный цикл</w:t>
      </w:r>
    </w:p>
    <w:p w14:paraId="2C5D81D1" w14:textId="77777777" w:rsidR="00D93BCC" w:rsidRDefault="00B15B46">
      <w:pPr>
        <w:spacing w:line="471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Важным показателем управления оборотным капиталом является средний период времени от выплаты денег за приобретенные сырье и материалы до получения денег за изготовленную из них продукцию.  </w:t>
      </w:r>
    </w:p>
    <w:p w14:paraId="1A49E7A6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3DB438F" wp14:editId="1DBB9F2A">
            <wp:extent cx="3170400" cy="191961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400" cy="1919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8920A" w14:textId="77777777" w:rsidR="00D93BCC" w:rsidRDefault="00B15B46">
      <w:pPr>
        <w:spacing w:line="47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Рис.7. Денежный цикл в «</w:t>
      </w:r>
      <w:proofErr w:type="spellStart"/>
      <w:r>
        <w:rPr>
          <w:rFonts w:ascii="Times New Roman" w:eastAsia="Times New Roman" w:hAnsi="Times New Roman" w:cs="Times New Roman"/>
          <w:i/>
        </w:rPr>
        <w:t>М.Видео</w:t>
      </w:r>
      <w:proofErr w:type="spellEnd"/>
      <w:r>
        <w:rPr>
          <w:rFonts w:ascii="Times New Roman" w:eastAsia="Times New Roman" w:hAnsi="Times New Roman" w:cs="Times New Roman"/>
          <w:i/>
        </w:rPr>
        <w:t>-Эльдорадо»</w:t>
      </w:r>
    </w:p>
    <w:p w14:paraId="1B174F18" w14:textId="77777777" w:rsidR="00D93BCC" w:rsidRDefault="00D93BCC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20DCE" w14:textId="77777777" w:rsidR="00D93BCC" w:rsidRDefault="00D93BCC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918799E" w14:textId="77777777" w:rsidR="00D93BCC" w:rsidRDefault="00D93BCC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AFE7DD0" w14:textId="77777777" w:rsidR="00D93BCC" w:rsidRDefault="00D93BCC">
      <w:pPr>
        <w:spacing w:line="4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2D5F1E" w14:textId="77777777" w:rsidR="00D93BCC" w:rsidRDefault="00D93BCC">
      <w:pPr>
        <w:spacing w:line="4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A6D17A" w14:textId="77777777" w:rsidR="00D93BCC" w:rsidRDefault="00D93BCC">
      <w:pPr>
        <w:spacing w:line="4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5BEE50D" w14:textId="77777777" w:rsidR="00D93BCC" w:rsidRDefault="00D93BCC">
      <w:pPr>
        <w:spacing w:line="4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65F240" w14:textId="77777777" w:rsidR="00D93BCC" w:rsidRDefault="00D93BCC">
      <w:pPr>
        <w:spacing w:line="4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0B4284" w14:textId="77777777" w:rsidR="00D93BCC" w:rsidRDefault="00B15B46">
      <w:pPr>
        <w:spacing w:line="360" w:lineRule="auto"/>
        <w:ind w:firstLine="70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D5DC69" wp14:editId="44756CEE">
            <wp:simplePos x="0" y="0"/>
            <wp:positionH relativeFrom="column">
              <wp:posOffset>250988</wp:posOffset>
            </wp:positionH>
            <wp:positionV relativeFrom="paragraph">
              <wp:posOffset>133350</wp:posOffset>
            </wp:positionV>
            <wp:extent cx="5224463" cy="2950693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5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037D73" w14:textId="77777777" w:rsidR="00D93BCC" w:rsidRDefault="00D93BCC">
      <w:pPr>
        <w:spacing w:line="360" w:lineRule="auto"/>
        <w:ind w:firstLine="700"/>
      </w:pPr>
    </w:p>
    <w:p w14:paraId="14F060CC" w14:textId="77777777" w:rsidR="00D93BCC" w:rsidRDefault="00D93BCC">
      <w:pPr>
        <w:spacing w:line="360" w:lineRule="auto"/>
        <w:ind w:firstLine="700"/>
      </w:pPr>
    </w:p>
    <w:p w14:paraId="64BE388A" w14:textId="77777777" w:rsidR="00D93BCC" w:rsidRDefault="00D93BCC">
      <w:pPr>
        <w:spacing w:line="360" w:lineRule="auto"/>
        <w:ind w:firstLine="700"/>
      </w:pPr>
    </w:p>
    <w:p w14:paraId="708BFC71" w14:textId="77777777" w:rsidR="00D93BCC" w:rsidRDefault="00D93BCC">
      <w:pPr>
        <w:spacing w:line="360" w:lineRule="auto"/>
        <w:ind w:firstLine="700"/>
      </w:pPr>
    </w:p>
    <w:p w14:paraId="456073FC" w14:textId="77777777" w:rsidR="00D93BCC" w:rsidRDefault="00D93BCC">
      <w:pPr>
        <w:spacing w:line="360" w:lineRule="auto"/>
        <w:ind w:firstLine="700"/>
      </w:pPr>
    </w:p>
    <w:p w14:paraId="204E6AFB" w14:textId="77777777" w:rsidR="00D93BCC" w:rsidRDefault="00D93BCC">
      <w:pPr>
        <w:spacing w:line="360" w:lineRule="auto"/>
        <w:ind w:firstLine="700"/>
      </w:pPr>
    </w:p>
    <w:p w14:paraId="7B6AF041" w14:textId="77777777" w:rsidR="00D93BCC" w:rsidRDefault="00B15B46">
      <w:pPr>
        <w:spacing w:line="360" w:lineRule="auto"/>
        <w:ind w:firstLine="700"/>
      </w:pPr>
      <w:r>
        <w:t>Коэфф</w:t>
      </w:r>
      <w:r>
        <w:t>ициент текущей ликвидности показывает способность компании погашать текущие (краткосрочные) обязательства за счёт только оборотных активов. Чем больше значение коэффициента, тем лучше платежеспособность предприятия. Этот показатель учитывает, что не все ак</w:t>
      </w:r>
      <w:r>
        <w:t>тивы можно продать в срочном порядке.</w:t>
      </w:r>
      <w:r>
        <w:rPr>
          <w:color w:val="404346"/>
          <w:sz w:val="21"/>
          <w:szCs w:val="21"/>
        </w:rPr>
        <w:t xml:space="preserve"> </w:t>
      </w:r>
      <w:r>
        <w:t>Чем выше значение коэффициента текущей ликвидности, тем выше ликвидность активов компании. Нормальным, а часто и оптимальным, считается значение коэффициента 2 и более. Однако в мировой практике допускается снижение да</w:t>
      </w:r>
      <w:r>
        <w:t>нного показателя для некоторых отраслей до 1,5.</w:t>
      </w:r>
    </w:p>
    <w:p w14:paraId="508FDBFB" w14:textId="77777777" w:rsidR="00D93BCC" w:rsidRDefault="00B15B46">
      <w:pPr>
        <w:spacing w:line="360" w:lineRule="auto"/>
        <w:ind w:firstLine="700"/>
      </w:pPr>
      <w:r>
        <w:t>Значение коэффициента ниже нормы (ниже 1) говорит о вероятных трудностях в погашении организацией своих текущих обязательств. Однако для полноты картины нужно смотреть поток денежных средств от операционной д</w:t>
      </w:r>
      <w:r>
        <w:t xml:space="preserve">еятельности организации – часто низкий коэффициент оправдан мощным потоком наличности (например, розничной торговле). То есть, в нашем примере это, возможно допустимо. При сравнении со средним показателем по отрасли можно заметить, что показатели </w:t>
      </w:r>
      <w:proofErr w:type="spellStart"/>
      <w:r>
        <w:t>МВидео</w:t>
      </w:r>
      <w:proofErr w:type="spellEnd"/>
      <w:r>
        <w:t xml:space="preserve"> ни</w:t>
      </w:r>
      <w:r>
        <w:t>же, но это не является каким-то ключевым фактором, однако вносит определённый негатив в финансовую устойчивость компании.</w:t>
      </w:r>
    </w:p>
    <w:p w14:paraId="39F71B74" w14:textId="77777777" w:rsidR="00D93BCC" w:rsidRDefault="00B15B46">
      <w:pPr>
        <w:spacing w:line="360" w:lineRule="auto"/>
        <w:ind w:firstLine="700"/>
      </w:pPr>
      <w:r>
        <w:t>Коэффициент срочной ликвидности дает возможность определить, какая часть текущей (краткосрочной) задолженности юридического лица может</w:t>
      </w:r>
      <w:r>
        <w:t xml:space="preserve"> быть погашена им за счет собственных средств в течение непродолжительного времени. Такая оценка платежеспособности наиболее интересна для контрагентов юрлица, дающих ему деньги в долг, но может быть использована и в собственных интересах предприятия. Данн</w:t>
      </w:r>
      <w:r>
        <w:t>ый показатель тоже ниже среднего показателя по отрасли, при этом, как было уже сказано ранее, важно оценить для начала и другие показатели. Сам показатель колеблется около 0,35, что говорит о некой стабильности.</w:t>
      </w:r>
    </w:p>
    <w:p w14:paraId="57E500DD" w14:textId="77777777" w:rsidR="00D93BCC" w:rsidRDefault="00D93BCC"/>
    <w:p w14:paraId="075F0251" w14:textId="77777777" w:rsidR="00D93BCC" w:rsidRDefault="00B15B46">
      <w:pPr>
        <w:jc w:val="center"/>
        <w:rPr>
          <w:b/>
        </w:rPr>
      </w:pPr>
      <w:r>
        <w:rPr>
          <w:b/>
        </w:rPr>
        <w:t>Рентабельность задействованного капитала, %</w:t>
      </w:r>
      <w:r>
        <w:rPr>
          <w:b/>
        </w:rPr>
        <w:t xml:space="preserve"> (ROCE)</w:t>
      </w:r>
    </w:p>
    <w:p w14:paraId="62E8A3B5" w14:textId="77777777" w:rsidR="00D93BCC" w:rsidRDefault="00B15B46">
      <w:pPr>
        <w:jc w:val="center"/>
      </w:pPr>
      <w:r>
        <w:rPr>
          <w:noProof/>
        </w:rPr>
        <w:drawing>
          <wp:inline distT="114300" distB="114300" distL="114300" distR="114300" wp14:anchorId="67E0B68F" wp14:editId="32C86C75">
            <wp:extent cx="4124325" cy="22764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3F22" w14:textId="77777777" w:rsidR="00D93BCC" w:rsidRDefault="00B15B46">
      <w:pPr>
        <w:spacing w:line="360" w:lineRule="auto"/>
        <w:ind w:firstLine="708"/>
        <w:jc w:val="both"/>
      </w:pPr>
      <w:r>
        <w:t>Рентабельность задействованного капитала является основным показателем, показывающим эффективность использования капитала компанией. Чем больше значение коэффициента, тем более эффективно осуществляется использование капитала компанией. И наоборот.</w:t>
      </w:r>
    </w:p>
    <w:p w14:paraId="6FCBAFCC" w14:textId="77777777" w:rsidR="00D93BCC" w:rsidRDefault="00B15B46">
      <w:pPr>
        <w:spacing w:line="360" w:lineRule="auto"/>
        <w:ind w:firstLine="708"/>
        <w:jc w:val="both"/>
      </w:pPr>
      <w:r>
        <w:t>В целом</w:t>
      </w:r>
      <w:r>
        <w:t xml:space="preserve"> коэффициент задействованного капитала компании “</w:t>
      </w:r>
      <w:proofErr w:type="spellStart"/>
      <w:r>
        <w:t>М.Видео</w:t>
      </w:r>
      <w:proofErr w:type="spellEnd"/>
      <w:r>
        <w:t>” имеет хорошее значение, однако отстаёт от, например, значений коэффициента своего конкурента - DNS, который составляет 22,8% в среднем за 5 лет.</w:t>
      </w:r>
    </w:p>
    <w:p w14:paraId="74242B01" w14:textId="77777777" w:rsidR="00D93BCC" w:rsidRDefault="00B15B46">
      <w:pPr>
        <w:spacing w:line="360" w:lineRule="auto"/>
        <w:ind w:firstLine="708"/>
        <w:jc w:val="both"/>
      </w:pPr>
      <w:r>
        <w:t>Следовательно, можно сделать вывод, что компания треб</w:t>
      </w:r>
      <w:r>
        <w:t>ует более эффективного менеджмента и управления задействованным капиталом.</w:t>
      </w:r>
    </w:p>
    <w:p w14:paraId="2A92B5FB" w14:textId="77777777" w:rsidR="00D93BCC" w:rsidRDefault="00B15B46">
      <w:pPr>
        <w:spacing w:line="360" w:lineRule="auto"/>
        <w:ind w:firstLine="708"/>
        <w:jc w:val="both"/>
      </w:pPr>
      <w:r>
        <w:t>Кроме этого, следует отметить, что поглощение в 2018 г. сети “Эльдорадо” благоприятно сказалось на значении данного коэффициента - в 2018 г. значение данного коэффициента увеличилос</w:t>
      </w:r>
      <w:r>
        <w:t xml:space="preserve">ь чуть больше, чем в 2 раза, а затем стабильно находилось выше того уровня, на котором находилось в 2017 г., до присоединения. </w:t>
      </w:r>
    </w:p>
    <w:p w14:paraId="41E98F56" w14:textId="5FC2A661" w:rsidR="00D93BCC" w:rsidRPr="00B33C0B" w:rsidRDefault="00B15B46" w:rsidP="00B33C0B">
      <w:pPr>
        <w:spacing w:line="360" w:lineRule="auto"/>
        <w:ind w:firstLine="708"/>
        <w:jc w:val="both"/>
      </w:pPr>
      <w:r>
        <w:t>Также можно заметить, что тренд на уменьшение эффективности управления задействованным капиталом, который начался в 2018 г., воз</w:t>
      </w:r>
      <w:r>
        <w:t>можно, не является долгосрочным, так как в 2021 г. снижение значения было минимальным. Таким образом, можно также сказать, что в 2020 г. основным драйвером снижения рентабельности задействованного капитала было вызвано пандемией коронавируса.</w:t>
      </w:r>
    </w:p>
    <w:p w14:paraId="382C9F26" w14:textId="77777777" w:rsidR="00D93BCC" w:rsidRDefault="00D93BCC"/>
    <w:tbl>
      <w:tblPr>
        <w:tblW w:w="17278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976"/>
      </w:tblGrid>
      <w:tr w:rsidR="00B33C0B" w:rsidRPr="00B33C0B" w14:paraId="3EA2766B" w14:textId="77777777" w:rsidTr="00B33C0B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8098" w14:textId="316D0AF4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33C0B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60288" behindDoc="0" locked="0" layoutInCell="1" allowOverlap="1" wp14:anchorId="501F5FDD" wp14:editId="23C7574E">
                  <wp:simplePos x="0" y="0"/>
                  <wp:positionH relativeFrom="column">
                    <wp:posOffset>6644640</wp:posOffset>
                  </wp:positionH>
                  <wp:positionV relativeFrom="paragraph">
                    <wp:posOffset>1097280</wp:posOffset>
                  </wp:positionV>
                  <wp:extent cx="4251960" cy="2186940"/>
                  <wp:effectExtent l="0" t="0" r="15240" b="3810"/>
                  <wp:wrapNone/>
                  <wp:docPr id="42" name="Диаграмма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7E314-0021-4EF5-8996-2897DFDF9BE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B33C0B" w:rsidRPr="00B33C0B" w14:paraId="2EE50B05" w14:textId="77777777">
              <w:trPr>
                <w:trHeight w:val="264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12B22DB" w14:textId="77777777" w:rsidR="00B33C0B" w:rsidRPr="00B33C0B" w:rsidRDefault="00B33C0B" w:rsidP="00B33C0B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B33C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1) Коэффициент автономии (КА) показывает, насколько предприятие независимо от кредиторов. Он отражает долю собственного капитала в составе всех источников финансирования. Чем выше значение коэффициента, тем с большей вероятностью предприятие может погасить долги за счет собственных средств. Общепринятое нормальное значение: 0,5 и более (оптимальное 0,6-0,7).</w:t>
                  </w:r>
                </w:p>
              </w:tc>
            </w:tr>
            <w:tr w:rsidR="00B33C0B" w:rsidRPr="00B33C0B" w14:paraId="105D1DC3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E48207" w14:textId="77777777" w:rsidR="00B33C0B" w:rsidRPr="00B33C0B" w:rsidRDefault="00B33C0B" w:rsidP="00B33C0B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5F4B85CC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D9A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7494F64C" w14:textId="77777777" w:rsidTr="00B33C0B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5BADD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A1E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57E66289" w14:textId="77777777" w:rsidTr="00B33C0B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9BF58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EA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741C3164" w14:textId="77777777" w:rsidTr="00B33C0B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F01C1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16B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52E0A292" w14:textId="77777777" w:rsidTr="00B33C0B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FB645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797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459E3BE5" w14:textId="77777777" w:rsidTr="00B33C0B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99ACD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33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014B9BC8" w14:textId="77777777" w:rsidTr="00B33C0B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AC0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D78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AE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E8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0FA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91D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084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CF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15D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CD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2E8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507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251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D0F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D6B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3644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B32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DBE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1D5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050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6D8BE905" w14:textId="77777777" w:rsidTr="00B33C0B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A405C5" w14:textId="1647C69D" w:rsidR="00B33C0B" w:rsidRPr="00B33C0B" w:rsidRDefault="00B33C0B" w:rsidP="00B33C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33C0B">
              <w:rPr>
                <w:rFonts w:ascii="Calibri" w:eastAsia="Times New Roman" w:hAnsi="Calibri" w:cs="Calibri"/>
                <w:color w:val="000000"/>
                <w:lang w:val="ru-RU"/>
              </w:rPr>
              <w:t>В на</w:t>
            </w:r>
            <w:r w:rsidR="00936CC2">
              <w:rPr>
                <w:rFonts w:ascii="Calibri" w:eastAsia="Times New Roman" w:hAnsi="Calibri" w:cs="Calibri"/>
                <w:color w:val="000000"/>
                <w:lang w:val="ru-RU"/>
              </w:rPr>
              <w:t>ш</w:t>
            </w:r>
            <w:r w:rsidRPr="00B33C0B">
              <w:rPr>
                <w:rFonts w:ascii="Calibri" w:eastAsia="Times New Roman" w:hAnsi="Calibri" w:cs="Calibri"/>
                <w:color w:val="000000"/>
                <w:lang w:val="ru-RU"/>
              </w:rPr>
              <w:t>ем примере КА за анализируемый период снижается с 0,</w:t>
            </w:r>
            <w:proofErr w:type="gramStart"/>
            <w:r w:rsidRPr="00B33C0B">
              <w:rPr>
                <w:rFonts w:ascii="Calibri" w:eastAsia="Times New Roman" w:hAnsi="Calibri" w:cs="Calibri"/>
                <w:color w:val="000000"/>
                <w:lang w:val="ru-RU"/>
              </w:rPr>
              <w:t>19  в</w:t>
            </w:r>
            <w:proofErr w:type="gramEnd"/>
            <w:r w:rsidRPr="00B33C0B">
              <w:rPr>
                <w:rFonts w:ascii="Calibri" w:eastAsia="Times New Roman" w:hAnsi="Calibri" w:cs="Calibri"/>
                <w:color w:val="000000"/>
                <w:lang w:val="ru-RU"/>
              </w:rPr>
              <w:t> 2017г. до 0,05 в 2021 году, что отражает увеличение зависимости предприятия от внешних кредиторов.</w:t>
            </w:r>
            <w:r w:rsidR="004105C4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Медианна по отрасли </w:t>
            </w:r>
            <w:r w:rsidR="004105C4">
              <w:rPr>
                <w:rFonts w:ascii="Open Sans" w:hAnsi="Open Sans"/>
                <w:color w:val="222222"/>
                <w:shd w:val="clear" w:color="auto" w:fill="FFFFFF"/>
              </w:rPr>
              <w:t>0,47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6A9" w14:textId="77777777" w:rsidR="00B33C0B" w:rsidRPr="00B33C0B" w:rsidRDefault="00B33C0B" w:rsidP="00B33C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9C8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FC4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C31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773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7BF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2CF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B3B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7AE00480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747CC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350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1D5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578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011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107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7C6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1F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1C5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1B764670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9ACF7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735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DB4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D4C4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3B3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A3C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AC2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FF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60D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36D9020C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8EAC4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1DE4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B8F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201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BE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F6E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C1A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E7C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C17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37546EA1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6931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46AE" w14:textId="7FA4141A" w:rsidR="00B33C0B" w:rsidRPr="00B33C0B" w:rsidRDefault="004105C4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5EC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8CE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519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D4F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EFC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DD5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043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02756790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4E17E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71C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C7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851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BC3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634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21D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118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0D4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2C988E9C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C212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26A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883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CB1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913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162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DB2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797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F3C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7AD9D188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3C4D2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976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73F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865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B4B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858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EB1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3AD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D6E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794E371F" w14:textId="77777777" w:rsidTr="00B33C0B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83848" w14:textId="77777777" w:rsidR="00B33C0B" w:rsidRPr="00B33C0B" w:rsidRDefault="00B33C0B" w:rsidP="00B33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EEF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0DD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B21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DC4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40A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0A5C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945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01B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4144B385" w14:textId="77777777" w:rsidTr="00B33C0B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8D4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E81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612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8BE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22A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65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E92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343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CF5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05C8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9BB4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1E4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9F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0FF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7B0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DFC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DBC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89D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4B0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6B4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3C0B" w:rsidRPr="00B33C0B" w14:paraId="0D83B641" w14:textId="77777777" w:rsidTr="00B33C0B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C86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4ED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11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552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CF26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978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1520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27F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2FB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2FF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F25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984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C27D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FE77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F8E3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E9E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5A81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EF2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F21A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B319" w14:textId="77777777" w:rsidR="00B33C0B" w:rsidRPr="00B33C0B" w:rsidRDefault="00B33C0B" w:rsidP="00B33C0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2E24488" w14:textId="34ABA0D2" w:rsidR="00D93BCC" w:rsidRDefault="00D93BCC">
      <w:pPr>
        <w:rPr>
          <w:lang w:val="ru-RU"/>
        </w:rPr>
      </w:pPr>
    </w:p>
    <w:tbl>
      <w:tblPr>
        <w:tblW w:w="17278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976"/>
      </w:tblGrid>
      <w:tr w:rsidR="00936CC2" w:rsidRPr="00936CC2" w14:paraId="4AF18B8D" w14:textId="77777777" w:rsidTr="00936CC2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E000" w14:textId="7EFE2883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62336" behindDoc="0" locked="0" layoutInCell="1" allowOverlap="1" wp14:anchorId="29B4FF0A" wp14:editId="2B51DFA9">
                  <wp:simplePos x="0" y="0"/>
                  <wp:positionH relativeFrom="column">
                    <wp:posOffset>6675120</wp:posOffset>
                  </wp:positionH>
                  <wp:positionV relativeFrom="paragraph">
                    <wp:posOffset>1074420</wp:posOffset>
                  </wp:positionV>
                  <wp:extent cx="4145280" cy="2232660"/>
                  <wp:effectExtent l="0" t="0" r="7620" b="15240"/>
                  <wp:wrapNone/>
                  <wp:docPr id="60" name="Диаграмма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2681E2-B4B7-41BD-AD7D-AE7CC90834A8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7EA9EE6C" w14:textId="77777777">
              <w:trPr>
                <w:trHeight w:val="264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CA630C6" w14:textId="77777777" w:rsidR="00936CC2" w:rsidRPr="00936CC2" w:rsidRDefault="00936CC2" w:rsidP="00936CC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2) Коэффициент долгосрочной финансовой независимости (КДФН) показывает, какая часть общей стоимости активов предприятия сформирована за счет наиболее надежных источников финансирования, то есть не зависит от краткосрочных заемных средств.</w:t>
                  </w:r>
                </w:p>
              </w:tc>
            </w:tr>
            <w:tr w:rsidR="00936CC2" w:rsidRPr="00936CC2" w14:paraId="43BF6C44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2CA4E9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21A93C94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C5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7399521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3895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EF1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01506CF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B0746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05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B9B7773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2F33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56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2AE348B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6D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BB9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BEEB77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278F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4AC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3DD1FCF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128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2ED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D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BE5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B6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8F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63B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EC6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D02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82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33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6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F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DE5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681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5F8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2BA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0B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57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92F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569F159" w14:textId="77777777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1A367F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По существу, это уточненный коэффициент автономии. Если в составе пассивов предприятия есть долгосрочные обязательства, целесообразно использовать этот коэффициент вместо коэффициента автономии. Одним из рекомендуемых значений этого коэффициента является 0,9, критическим — 0,75. По условиям нашего примера КДФН за анализируемый период увеличивается с 0,19 в 2017 году до 0,5 в 2021году, что отражает уменьшение зависимости предприятия от краткосрочных заемных средств.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67FF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4E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3D2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CA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9B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65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763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AB8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D0F3AA7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CB80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BB9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06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8F5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D10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AE7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E2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57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FD6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3809CDA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9D12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07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DDA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FDC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A38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F24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098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260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DE5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C8AAD7E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E2A9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31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1F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47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C2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E64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E5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BA2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436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E583002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E78AA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CF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BE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F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013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5A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21F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DCF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E0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6875C84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696F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69B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E3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E55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30C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73F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248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9D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0AE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6A4C8EF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52612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4C9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4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044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E1E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26C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66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3E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2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8519A4A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D706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421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2CF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96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EF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163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382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95D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8F2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AAEB981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901E4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6F2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179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CF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8A5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96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D6D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E0A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4BB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F3A18E5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388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0C8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782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9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8C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88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ABD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D37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4D1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D1B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C8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61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DD1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7EF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DD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05D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181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59F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0FC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5EF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6902F38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DEC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A2F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226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F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EC4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D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55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14A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F95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AB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EF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0D5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64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F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F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A0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AED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34B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21D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65F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6A1C33A" w14:textId="77777777" w:rsidTr="00936CC2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B9FA" w14:textId="630AA65E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22212ED1" wp14:editId="6ECA5423">
                  <wp:simplePos x="0" y="0"/>
                  <wp:positionH relativeFrom="column">
                    <wp:posOffset>6659880</wp:posOffset>
                  </wp:positionH>
                  <wp:positionV relativeFrom="paragraph">
                    <wp:posOffset>1043940</wp:posOffset>
                  </wp:positionV>
                  <wp:extent cx="4297680" cy="2202180"/>
                  <wp:effectExtent l="0" t="0" r="7620" b="7620"/>
                  <wp:wrapNone/>
                  <wp:docPr id="61" name="Диаграмма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8F09D2-2A41-4B15-851C-5CBCE95CB20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0796DFE7" w14:textId="77777777">
              <w:trPr>
                <w:trHeight w:val="293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FA4928D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3) Коэффициент финансовой зависимости (КФЗ) демонстрирует зависимость предприятия от внешних источников финансирования.</w:t>
                  </w:r>
                </w:p>
              </w:tc>
            </w:tr>
            <w:tr w:rsidR="00936CC2" w:rsidRPr="00936CC2" w14:paraId="38A72CAB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1848A1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0069705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99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3ACA2C5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B4896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50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1E65F5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D489E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A2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4E9884B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433CC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CC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A7DD7DE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E82C1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1A5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ABEE2FE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F20D6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8CA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5453E89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F05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C05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FD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42A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52F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88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D2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515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1E5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EDC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E74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1A1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681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0A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24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49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91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15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189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F4E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227B302" w14:textId="77777777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CC105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Показывает способность предприятия, ликвидировав свои активы, полностью погасить обязательства. Нормальным считается коэффициент финансовой зависимости не более 0.6–0.7.По условиям нашего примера КФЗ за анализируемый период растет с 0,81 в 2017г. до 0,95 в 2021 году, что отражает увеличение зависимости предприятия от внешних кредиторов. Оптимальным является коэффициент 0.5.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FF2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CA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93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E6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79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D6F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1C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C3A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AFBB8E2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B4FA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CAA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54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A7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C4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89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ED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0E4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6B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866F717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06921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E53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3AB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0A4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05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D19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6C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5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A7B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7A516E5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21581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E22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1E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464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FBF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41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B9A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36D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EE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F439A0E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C1C8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DF2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8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6E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879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2C0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303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34E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6A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EB8419B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A10FC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5DC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5B8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7D5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8C5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74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91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06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33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D7F8515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9CD0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20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910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C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2DF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166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6E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6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2A1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E7CBF03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15BB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09D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5E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C7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59E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31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B6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8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F25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7921CC4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8BF3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4D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A64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EE8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A17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49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F8F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A5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4E8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52433D3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3EC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AC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A36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55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13D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DAC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E7C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5F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6B7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8C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DD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49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3B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CE5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8A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7BB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E4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F2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AED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E5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F7E2DA9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FC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DB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48E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218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211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3C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04B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396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D2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7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B0F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8B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C3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231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21D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438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570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CA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B96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29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E3B8F93" w14:textId="77777777" w:rsidTr="00936CC2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832" w14:textId="19CFC5E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66432" behindDoc="0" locked="0" layoutInCell="1" allowOverlap="1" wp14:anchorId="33085EF4" wp14:editId="55BB9F01">
                  <wp:simplePos x="0" y="0"/>
                  <wp:positionH relativeFrom="column">
                    <wp:posOffset>6659880</wp:posOffset>
                  </wp:positionH>
                  <wp:positionV relativeFrom="paragraph">
                    <wp:posOffset>1089660</wp:posOffset>
                  </wp:positionV>
                  <wp:extent cx="4328160" cy="2209800"/>
                  <wp:effectExtent l="0" t="0" r="15240" b="0"/>
                  <wp:wrapNone/>
                  <wp:docPr id="62" name="Диаграмма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5CE7A8-CFBC-44E9-A778-EE916CDE4231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64F1672F" w14:textId="77777777">
              <w:trPr>
                <w:trHeight w:val="293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3EEA309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4) Коэффициент обеспеченности собственными оборотными средствами (КОСОС) позволяет рассчитать долю собственных оборотных средств в оборотных активах.</w:t>
                  </w:r>
                </w:p>
              </w:tc>
            </w:tr>
            <w:tr w:rsidR="00936CC2" w:rsidRPr="00936CC2" w14:paraId="3CE1671F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106AE4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2E3DF63E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642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CFB1DEB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FDEF4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2D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4545A0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79DCF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D51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CBC566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787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305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27E137A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B4F3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A1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0AD271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E183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01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49057A8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6A2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61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42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1C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5A5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8CA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912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43C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0A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14B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682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9E8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77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A79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453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18E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B3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ED7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E1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9A6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A40043C" w14:textId="77777777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F93A2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КОСОС определяет степень обеспеченности организации собственными оборотными средствами, необходимыми для ее финансовой устойчивости. Нормальное значение: 0,1 и более.</w:t>
            </w: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br/>
              <w:t>В нашем примере КОСОС за анализируемый период снижается с -0.01 в 2017г. до отрицательного значения −0,61 в 2021 году, что характеризует резкое снижение собственных оборотных средств.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241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B0B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66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56A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EC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69A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EE4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C1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46B5EA0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F4D22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FB4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8CD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119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AE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897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8CF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B7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523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6B77638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9C96A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9E3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21A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2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9B3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674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BD4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318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B3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87C8CAC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EFA5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C3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A3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E4F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D72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D8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033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848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6C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508C0C4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D9DAB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744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82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EB7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92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4F3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A11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93F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70A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6ADDE1C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7C99D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5E8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60B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607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85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286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288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6BF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765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3BB4E3F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ECC8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80F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F58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57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A8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3A6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64F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73D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B37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32EF1D8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5BB8D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E2F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25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D7E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6A8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39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E1E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6C8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67E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0E56A92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0EA40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59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B7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21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EE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7C0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892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A0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777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A1F7A00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486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019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99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D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86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A44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A4E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612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CFB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8D8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2D8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06B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57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F69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0B1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593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16A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DAC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39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8C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9A9C05C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34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5A0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B3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C5E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82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3A7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71B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A2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63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4A3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40A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24B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9F6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3C7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849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42C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001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7CB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E4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4DF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FEF5D4F" w14:textId="77777777" w:rsidTr="00936CC2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94D6" w14:textId="0DBA0B54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68480" behindDoc="0" locked="0" layoutInCell="1" allowOverlap="1" wp14:anchorId="25FCAD3C" wp14:editId="7985667F">
                  <wp:simplePos x="0" y="0"/>
                  <wp:positionH relativeFrom="column">
                    <wp:posOffset>6659880</wp:posOffset>
                  </wp:positionH>
                  <wp:positionV relativeFrom="paragraph">
                    <wp:posOffset>1082040</wp:posOffset>
                  </wp:positionV>
                  <wp:extent cx="4305300" cy="2225040"/>
                  <wp:effectExtent l="0" t="0" r="0" b="3810"/>
                  <wp:wrapNone/>
                  <wp:docPr id="63" name="Диаграмма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25520D-0602-4F19-885E-A5DDD6B8E088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37D71E6B" w14:textId="77777777">
              <w:trPr>
                <w:trHeight w:val="293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DF0BEDE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5) Коэффициент капитализации (КК) — показывает соотношение заемных и собственных средств.</w:t>
                  </w:r>
                </w:p>
              </w:tc>
            </w:tr>
            <w:tr w:rsidR="00936CC2" w:rsidRPr="00936CC2" w14:paraId="49ABFAE0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B6CB8E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65C4399E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3ED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032796A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B5BF2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07E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1CF95B7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8AB3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BF9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242122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F89B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EB1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5011A2E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EFD2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36E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1AEB45B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61D85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43B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B9A59F5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C2D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FD1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14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AEC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199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246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2A8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763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77B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4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72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D37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9B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C4C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CF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A0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A71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B0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0E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24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BFAD36F" w14:textId="77777777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7A01CA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Чем больше коэффициент превышает 1, тем больше зависимость предприятия от заемных средств.</w:t>
            </w: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br/>
              <w:t>В примере КК за анализируемый период увеличился с 4,25 в 2017г. до 18,10 в 2021 году, что отражает резкое увеличение зависимости предприятия от заемных источников финансирования.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90E7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C4C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4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129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2A4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CB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E76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03E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F14AAEB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E3D7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68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5A7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B29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34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170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0D8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1DD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64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F934189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E081C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F51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26F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24B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BA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61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02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88F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7AE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F4E1C3F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6144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32F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2BC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F3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11B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C36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21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6AF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F0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06D569D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E479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809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E9A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CD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77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130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9F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700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C09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88DC9A1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09A14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1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31C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49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4BF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D05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823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AB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3C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94000C1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CD47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D52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705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A44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573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874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DF1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AB4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C3E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C28CF04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9E0C7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050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324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E1F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45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F86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545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88E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E8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8FBEC57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A901D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83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0D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7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39B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0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07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056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CD6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5676A44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0D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DED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23F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961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1A3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A7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DB3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41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DD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D4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4EF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5BB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A9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846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6E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E92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C9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141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B63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B8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72DC6AB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9E9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43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34B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F30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22F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72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6E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A7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652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121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12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E96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E08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235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A6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1DC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6C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2C3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0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A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56C4A19" w14:textId="77777777" w:rsidTr="00936CC2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97E0" w14:textId="169787C0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732645B8" wp14:editId="7974F2E7">
                  <wp:simplePos x="0" y="0"/>
                  <wp:positionH relativeFrom="column">
                    <wp:posOffset>6667500</wp:posOffset>
                  </wp:positionH>
                  <wp:positionV relativeFrom="paragraph">
                    <wp:posOffset>1082040</wp:posOffset>
                  </wp:positionV>
                  <wp:extent cx="4259580" cy="2194560"/>
                  <wp:effectExtent l="0" t="0" r="7620" b="15240"/>
                  <wp:wrapNone/>
                  <wp:docPr id="64" name="Диаграмма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36E7C6-CC24-4046-BD82-F5B62BDBD7B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15E23B37" w14:textId="77777777">
              <w:trPr>
                <w:trHeight w:val="264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1C8228D" w14:textId="77777777" w:rsidR="00936CC2" w:rsidRPr="00936CC2" w:rsidRDefault="00936CC2" w:rsidP="00936CC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6) Коэффициент финансирования (КФ) показывает, какая часть деятельности финансируется за счет собственных средств, а какая — за счет заемных.</w:t>
                  </w:r>
                </w:p>
              </w:tc>
            </w:tr>
            <w:tr w:rsidR="00936CC2" w:rsidRPr="00936CC2" w14:paraId="47617228" w14:textId="77777777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06651B" w14:textId="77777777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00654EF6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F27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B557E3F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6FE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F4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7F67A06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8F48D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B1D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5D2C462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412FF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79D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3E3B56C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49056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7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D63F95F" w14:textId="77777777" w:rsidTr="00936CC2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3B3BF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731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FA7BA8D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98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396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DA3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5A0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B3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E52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8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A8B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621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4F5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86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88C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36E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181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C73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133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73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C0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0E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CF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6F37D61" w14:textId="77777777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AC7D41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Чем ниже данный показатель, тем предприятие более зависимо от заемного капитала. По условиям нашего примера КФ за анализируемый период снижается с 0,24 в 2017г. до 0,06 в 2021 году, что отражает увеличение зависимости предприятия от заемных источников.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EBC5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D7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62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65E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278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6E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08D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FE0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9845CAC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DD17A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E3A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4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669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99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64C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415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B98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9E7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E5D50CF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4037C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6D1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B1F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9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7E1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3A9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EDE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8C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2F1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8FC9465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1EBAA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CA2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0B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7D8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0A2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26A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90A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D39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D5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C8CEA76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5AC99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557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18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E85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6D9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8D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AC7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431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3A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A738AA8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B78F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D21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DE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191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FD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59C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BF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325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640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46DD659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B4EEE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02F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679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26C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78D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E3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836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E64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316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4037FAA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C1F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BF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FDE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6AD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18E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90F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F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2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116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CBEDA96" w14:textId="7777777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59D4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DA9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EF7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7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1B3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CF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7FD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4B6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9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1BC2D5C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85C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1D7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E16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11D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499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C94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F3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6D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D6D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72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A6B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B07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AED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22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D7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66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C1B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5E5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A14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9FD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388CCA1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00F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FD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239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3DA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36A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2A2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648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1A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7FD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9B5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42B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D5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14B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23B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54B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678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2E2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BFD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889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7DC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1236EEE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9A7D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374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B6E6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7086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A775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029B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DB37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AAF7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AAD9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264A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B481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A28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0BBE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62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39A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98E8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DBDE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B90E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3A28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FB58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CE12BE4" w14:textId="77777777" w:rsidTr="00936CC2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62D1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C014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8DBC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5225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40A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06F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02EE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3C87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DEC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3780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029C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E896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95E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1A6F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F83A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BB9B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FDB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FFDC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8491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9947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7455701" w14:textId="77777777" w:rsidR="00936CC2" w:rsidRDefault="00936CC2">
      <w:pPr>
        <w:rPr>
          <w:lang w:val="ru-RU"/>
        </w:rPr>
      </w:pPr>
    </w:p>
    <w:p w14:paraId="0316E651" w14:textId="77777777" w:rsidR="00936CC2" w:rsidRPr="00B33C0B" w:rsidRDefault="00936CC2">
      <w:pPr>
        <w:rPr>
          <w:lang w:val="ru-RU"/>
        </w:rPr>
      </w:pPr>
    </w:p>
    <w:tbl>
      <w:tblPr>
        <w:tblW w:w="17278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976"/>
      </w:tblGrid>
      <w:tr w:rsidR="00936CC2" w:rsidRPr="00936CC2" w14:paraId="38251928" w14:textId="77777777" w:rsidTr="00415B58">
        <w:trPr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D989" w14:textId="1EFC9ACF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28CE53F7" w14:textId="77777777" w:rsidTr="00415B58">
              <w:trPr>
                <w:trHeight w:val="293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93F3483" w14:textId="609EF305" w:rsidR="00936CC2" w:rsidRPr="00936CC2" w:rsidRDefault="00936CC2" w:rsidP="00936CC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7) Коэффициент долгосрочного привлечения заемных средств (КДПЗС) показывает, какая часть в источниках формирования внеоборотных активов на отчетную дату приходится на собственный капитал, а какая на долгосрочные заемные средства.</w:t>
                  </w:r>
                </w:p>
              </w:tc>
            </w:tr>
            <w:tr w:rsidR="00936CC2" w:rsidRPr="00936CC2" w14:paraId="2D4E66F9" w14:textId="77777777" w:rsidTr="00415B58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78046C" w14:textId="77777777" w:rsidR="00936CC2" w:rsidRPr="00936CC2" w:rsidRDefault="00936CC2" w:rsidP="00415B58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33D119BA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C20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658AB6F" w14:textId="77777777" w:rsidTr="00415B58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2E26F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A1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5544E0D" w14:textId="77777777" w:rsidTr="00415B58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6FDA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F6A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71862F7" w14:textId="77777777" w:rsidTr="00415B58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2FE3A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9EB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307F2B2" w14:textId="77777777" w:rsidTr="00415B58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97613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704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77DA50A" w14:textId="77777777" w:rsidTr="00415B58">
        <w:trPr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65D66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78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3482AEA" w14:textId="77777777" w:rsidTr="00415B58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526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7E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34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6D74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F79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772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0E4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A41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294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0B8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CF0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ED9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1CD" w14:textId="559EC83B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44D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13D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FA2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2B9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B0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57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B06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886FEC0" w14:textId="77777777" w:rsidTr="00415B58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DF79D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14:paraId="221122FF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Высокое значение этого показателя свидетельствует о сильной зависимости от привлеченного капитала, о необходимости выплачивать в перспективе значительные суммы денежных средств в виде процентов за пользование кредитами.</w:t>
            </w:r>
          </w:p>
          <w:p w14:paraId="42A33D42" w14:textId="067845C4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 xml:space="preserve">В рассматриваемом примере КДПЗС за анализируемый период вырос с нуля в 2017г. до 0,81 в 2021 году, что показывает </w:t>
            </w:r>
            <w:proofErr w:type="spellStart"/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увелечение</w:t>
            </w:r>
            <w:proofErr w:type="spellEnd"/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собственного капитала за счет заемных средств.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D62F" w14:textId="47745C32" w:rsidR="00936CC2" w:rsidRPr="00936CC2" w:rsidRDefault="00936CC2" w:rsidP="00415B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pict w14:anchorId="38FC07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Диаграмма 7" o:spid="_x0000_s1085" type="#_x0000_t75" style="position:absolute;left:0;text-align:left;margin-left:6.9pt;margin-top:7.6pt;width:337.2pt;height:171.6pt;z-index:251676672;visibility:visible;mso-position-horizontal-relative:text;mso-position-vertical-relative:text" o:gfxdata="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">
                  <v:imagedata r:id="rId22" o:title=""/>
                  <o:lock v:ext="edit" aspectratio="f"/>
                </v:shape>
              </w:pic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8E4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403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8A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126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1B4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C05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A69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B0BF892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7CF2F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2A3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E2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02E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F4A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40C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B5D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F5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D6E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C6432A7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BD4E6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6FE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67A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776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001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33E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DC0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1FF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E56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FC6BD16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82962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399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31E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13C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ACC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E9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A8A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9BF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FF2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B8E9C37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0ABC4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4F9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9E4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0EF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04C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5D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52F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973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B9F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770AA56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BAF24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C4A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2CE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6D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593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9E0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73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C48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557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A16BE4B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3A0BA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C03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8E44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CA0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3E9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404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F08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AFC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4B3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6E56287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F355D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FCC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A5B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7EB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7B3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B81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F17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354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75C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D92BFA6" w14:textId="77777777" w:rsidTr="00415B58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1A0CC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7E1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2E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4FE4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D9D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B1D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9F4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466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E9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0EC3CF7" w14:textId="77777777" w:rsidTr="00415B58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2E6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087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C2A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44D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E84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9B4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D8D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95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D9D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570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E21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575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7DA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C84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771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1CF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23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142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B00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B4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758BA1B" w14:textId="77777777" w:rsidTr="00415B58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811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DD8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D8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6DF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31A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07B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41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61F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BE4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EA2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E9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A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2E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A88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F26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51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8C6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98EB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8E1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CA7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6AFFB9F" w14:textId="77777777" w:rsidTr="00415B58">
        <w:trPr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88D7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7675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46A6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26CD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6979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2AF7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2046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FC8A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4AF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6BF1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D1CC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61F8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4C6C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A8B7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4757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A78D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BD06A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73E6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21C0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B441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854F7E1" w14:textId="77777777" w:rsidR="00936CC2" w:rsidRDefault="00936CC2" w:rsidP="00936CC2">
      <w:pPr>
        <w:rPr>
          <w:lang w:val="ru-RU"/>
        </w:rPr>
      </w:pPr>
    </w:p>
    <w:tbl>
      <w:tblPr>
        <w:tblW w:w="26062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976"/>
        <w:gridCol w:w="951"/>
        <w:gridCol w:w="1176"/>
        <w:gridCol w:w="951"/>
        <w:gridCol w:w="951"/>
        <w:gridCol w:w="951"/>
        <w:gridCol w:w="951"/>
        <w:gridCol w:w="951"/>
        <w:gridCol w:w="951"/>
        <w:gridCol w:w="951"/>
      </w:tblGrid>
      <w:tr w:rsidR="00936CC2" w:rsidRPr="00936CC2" w14:paraId="68162DC0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985" w14:textId="71E29B6F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6"/>
            </w:tblGrid>
            <w:tr w:rsidR="00936CC2" w:rsidRPr="00936CC2" w14:paraId="6A43AC0C" w14:textId="77777777" w:rsidTr="00415B58">
              <w:trPr>
                <w:trHeight w:val="293"/>
                <w:tblCellSpacing w:w="0" w:type="dxa"/>
              </w:trPr>
              <w:tc>
                <w:tcPr>
                  <w:tcW w:w="162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4DCEB82" w14:textId="247D2A3D" w:rsidR="00936CC2" w:rsidRPr="00936CC2" w:rsidRDefault="00936CC2" w:rsidP="00415B5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936CC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  <w:t>8) Коэффициент маневренности собственного капитала (КМСК) — показывает, какая часть чистого оборотного капитала приходится на 1 руб. собственных средств.</w:t>
                  </w:r>
                </w:p>
              </w:tc>
            </w:tr>
            <w:tr w:rsidR="00936CC2" w:rsidRPr="00936CC2" w14:paraId="572E38EB" w14:textId="77777777" w:rsidTr="00415B58">
              <w:trPr>
                <w:trHeight w:val="2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2C2FB0" w14:textId="77777777" w:rsidR="00936CC2" w:rsidRPr="00936CC2" w:rsidRDefault="00936CC2" w:rsidP="00415B58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234A823D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231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AE8B8A3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61D74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CAE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17FC92C5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0324F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EC8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200FBB4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74B22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40B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785BDF9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4F8CA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336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02D2B28" w14:textId="77777777" w:rsidTr="00936CC2">
        <w:trPr>
          <w:gridAfter w:val="9"/>
          <w:wAfter w:w="8784" w:type="dxa"/>
          <w:trHeight w:val="288"/>
        </w:trPr>
        <w:tc>
          <w:tcPr>
            <w:tcW w:w="16302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5E534" w14:textId="77777777" w:rsidR="00936CC2" w:rsidRPr="00936CC2" w:rsidRDefault="00936CC2" w:rsidP="00415B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DD87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bookmarkStart w:id="0" w:name="_GoBack"/>
        <w:bookmarkEnd w:id="0"/>
      </w:tr>
      <w:tr w:rsidR="00936CC2" w:rsidRPr="00936CC2" w14:paraId="11537BEC" w14:textId="77777777" w:rsidTr="00936CC2">
        <w:trPr>
          <w:gridAfter w:val="9"/>
          <w:wAfter w:w="8784" w:type="dxa"/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05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1558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87B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56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79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AAC0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5202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CA6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9E2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F15F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BF39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D55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FFBD" w14:textId="68DB95E5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B1A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26A5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57E3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9866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617C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C97D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620E" w14:textId="77777777" w:rsidR="00936CC2" w:rsidRPr="00936CC2" w:rsidRDefault="00936CC2" w:rsidP="00415B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2331C53D" w14:textId="0440866C" w:rsidTr="00936CC2">
        <w:trPr>
          <w:trHeight w:val="288"/>
        </w:trPr>
        <w:tc>
          <w:tcPr>
            <w:tcW w:w="102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16A588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 xml:space="preserve">Коэффициент маневренности характеризует какая доля источников собственных средств находится в </w:t>
            </w:r>
          </w:p>
          <w:p w14:paraId="67BC24EA" w14:textId="49B9AC5F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мобильной форме. Рекомендуемое значение — 0,5 и выше.</w:t>
            </w:r>
          </w:p>
          <w:p w14:paraId="4AC5C621" w14:textId="767F6AC6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 xml:space="preserve">По условиям нашего примера КМСК за анализируемый период снизился с -0,02 в 2017г. до-2,62 в 2021 году, что показывает на снижения маневренности </w:t>
            </w:r>
            <w:proofErr w:type="gramStart"/>
            <w:r w:rsidRPr="00936CC2">
              <w:rPr>
                <w:rFonts w:ascii="Calibri" w:eastAsia="Times New Roman" w:hAnsi="Calibri" w:cs="Calibri"/>
                <w:color w:val="000000"/>
                <w:lang w:val="ru-RU"/>
              </w:rPr>
              <w:t>капитала</w:t>
            </w:r>
            <w:r w:rsidR="004105C4">
              <w:rPr>
                <w:rFonts w:ascii="Calibri" w:eastAsia="Times New Roman" w:hAnsi="Calibri" w:cs="Calibri"/>
                <w:color w:val="000000"/>
                <w:lang w:val="ru-RU"/>
              </w:rPr>
              <w:t xml:space="preserve"> .</w:t>
            </w:r>
            <w:proofErr w:type="gramEnd"/>
            <w:r w:rsidR="004105C4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Медиана по отрасли </w:t>
            </w:r>
            <w:r w:rsidR="004105C4">
              <w:rPr>
                <w:rFonts w:ascii="Open Sans" w:hAnsi="Open Sans"/>
                <w:color w:val="222222"/>
                <w:shd w:val="clear" w:color="auto" w:fill="FFFFFF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BF13" w14:textId="77777777" w:rsidR="00936CC2" w:rsidRPr="00936CC2" w:rsidRDefault="00936CC2" w:rsidP="00936CC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02A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ECA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6AE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349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9C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D8A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A14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3A71923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37A75B9C" w14:textId="379C162B" w:rsidR="00936CC2" w:rsidRDefault="00936CC2" w:rsidP="00936CC2">
            <w:pPr>
              <w:rPr>
                <w:rFonts w:ascii="Calibri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936CC2" w14:paraId="7B27F307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3A01" w14:textId="77777777" w:rsidR="00936CC2" w:rsidRDefault="00936CC2" w:rsidP="00936CC2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3202E534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341FCF9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436B833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0E9580AB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1875CFA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7AAB0D1B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0F22B8CD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vAlign w:val="bottom"/>
          </w:tcPr>
          <w:p w14:paraId="42184AD8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630DDD5" w14:textId="46A35C5D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88CD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686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D5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F0B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A80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C3B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3AC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51A2" w14:textId="544BFD3F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36CC2">
              <w:rPr>
                <w:rFonts w:ascii="Calibri" w:eastAsia="Times New Roman" w:hAnsi="Calibri" w:cs="Calibri"/>
                <w:noProof/>
                <w:color w:val="000000"/>
                <w:lang w:val="ru-RU"/>
              </w:rPr>
              <w:drawing>
                <wp:anchor distT="0" distB="0" distL="114300" distR="114300" simplePos="0" relativeHeight="251678720" behindDoc="0" locked="0" layoutInCell="1" allowOverlap="1" wp14:anchorId="46D93742" wp14:editId="4FC9C00F">
                  <wp:simplePos x="0" y="0"/>
                  <wp:positionH relativeFrom="column">
                    <wp:posOffset>-3107690</wp:posOffset>
                  </wp:positionH>
                  <wp:positionV relativeFrom="paragraph">
                    <wp:posOffset>-93345</wp:posOffset>
                  </wp:positionV>
                  <wp:extent cx="4267200" cy="2194560"/>
                  <wp:effectExtent l="0" t="0" r="0" b="15240"/>
                  <wp:wrapNone/>
                  <wp:docPr id="80" name="Диаграмма 8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8FF3C6-EC55-4DAE-8A4F-2A6518D8486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AB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41B2957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10DA202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30CF16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296E67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2147DC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72B3D7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0E22B8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FAD2C24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1834734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665D2F0B" w14:textId="044F85EA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B266B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C26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694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47F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CF0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58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E3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4E7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404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9D10452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29FC555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6623E5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1FEA87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1917F53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5CE5F6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92FD55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B18C81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0C117DD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7098DC3" w14:textId="2ABD364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297A2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E52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DE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56C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210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C72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490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E0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372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7D81617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7D43117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26C3D2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D7326D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5A5AA8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F8B94C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8D81FD7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64A4AC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B22AB2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B602B19" w14:textId="5C0DA7C0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04D54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61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881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8A7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9BD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8D0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4FA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0F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C6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2E958C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CFE9C1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EB6C5C4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4CDDED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8EBF5CB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F412C10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24427F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BBD495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7B3E4D3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05FF34A" w14:textId="7B5E5867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22558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4A7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1C4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00E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46D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50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904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0F4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A0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D725AE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715667E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B09DA3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40680FE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88F95D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77560C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D0DB6A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225569F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D78FAE3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8356B57" w14:textId="153DAA3D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5416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53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3E0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45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C25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1E3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D3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F9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B3B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9B89C7B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A580EF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F433CB3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17C7B7D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F9A49C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D0DD35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671FF0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E51BFD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13A0842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780D3CF1" w14:textId="2A5B7B55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9A83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4603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EAA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1BC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841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636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93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46B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CBE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2973DEE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F2F8E77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6E7959D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079415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6CD4AC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CB989E9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44EC612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B58B14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496820E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42EB9BCD" w14:textId="2D083DEF" w:rsidTr="00936CC2">
        <w:trPr>
          <w:trHeight w:val="288"/>
        </w:trPr>
        <w:tc>
          <w:tcPr>
            <w:tcW w:w="102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7F152" w14:textId="77777777" w:rsidR="00936CC2" w:rsidRPr="00936CC2" w:rsidRDefault="00936CC2" w:rsidP="00936C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B5B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595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38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C48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7E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7BB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227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487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03CD46A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8ADB123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2A716242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5AD34FF2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77AEEC2C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CA75E75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0BDF5565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11DBC196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bottom"/>
          </w:tcPr>
          <w:p w14:paraId="369E4C51" w14:textId="77777777" w:rsidR="00936CC2" w:rsidRPr="00936CC2" w:rsidRDefault="00936CC2" w:rsidP="00936C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018004DB" w14:textId="77777777" w:rsidTr="00936CC2">
        <w:trPr>
          <w:gridAfter w:val="9"/>
          <w:wAfter w:w="8784" w:type="dxa"/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581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847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AE9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AD8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8DA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ED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11B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2C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3C6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935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CF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1DA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7B2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19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F6A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FFA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1F6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90A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2A0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E3D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3C58CE41" w14:textId="77777777" w:rsidTr="00936CC2">
        <w:trPr>
          <w:gridAfter w:val="9"/>
          <w:wAfter w:w="8784" w:type="dxa"/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016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17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1932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73A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658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FE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06A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935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DD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4B1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8BA5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E1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3C7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E4C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1CB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BB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C10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140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E1A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C70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36CC2" w:rsidRPr="00936CC2" w14:paraId="5C6E504E" w14:textId="77777777" w:rsidTr="00936CC2">
        <w:trPr>
          <w:gridAfter w:val="9"/>
          <w:wAfter w:w="8784" w:type="dxa"/>
          <w:trHeight w:val="288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D595F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A6F7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3464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B089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5BF7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EB8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E894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5141A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102D6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699F7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D8AD8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472D0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5503C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3C9E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4FD3B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38C44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8B94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9024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9590E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A19D9" w14:textId="77777777" w:rsidR="00936CC2" w:rsidRPr="00936CC2" w:rsidRDefault="00936CC2" w:rsidP="00936CC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F0B9C34" w14:textId="77777777" w:rsidR="00936CC2" w:rsidRDefault="00936CC2" w:rsidP="00936CC2">
      <w:pPr>
        <w:rPr>
          <w:lang w:val="ru-RU"/>
        </w:rPr>
      </w:pPr>
    </w:p>
    <w:p w14:paraId="22CA6174" w14:textId="77777777" w:rsidR="00D93BCC" w:rsidRPr="00936CC2" w:rsidRDefault="00D93BCC">
      <w:pPr>
        <w:rPr>
          <w:lang w:val="ru-RU"/>
        </w:rPr>
      </w:pPr>
    </w:p>
    <w:sectPr w:rsidR="00D93BCC" w:rsidRPr="00936CC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1E9E6" w14:textId="77777777" w:rsidR="00B15B46" w:rsidRDefault="00B15B46">
      <w:pPr>
        <w:spacing w:line="240" w:lineRule="auto"/>
      </w:pPr>
      <w:r>
        <w:separator/>
      </w:r>
    </w:p>
  </w:endnote>
  <w:endnote w:type="continuationSeparator" w:id="0">
    <w:p w14:paraId="120F8A68" w14:textId="77777777" w:rsidR="00B15B46" w:rsidRDefault="00B15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0B19" w14:textId="77777777" w:rsidR="00B15B46" w:rsidRDefault="00B15B46">
      <w:pPr>
        <w:spacing w:line="240" w:lineRule="auto"/>
      </w:pPr>
      <w:r>
        <w:separator/>
      </w:r>
    </w:p>
  </w:footnote>
  <w:footnote w:type="continuationSeparator" w:id="0">
    <w:p w14:paraId="51FEE623" w14:textId="77777777" w:rsidR="00B15B46" w:rsidRDefault="00B15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00E9F" w14:textId="77777777" w:rsidR="00D93BCC" w:rsidRDefault="00D93B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D4926"/>
    <w:multiLevelType w:val="hybridMultilevel"/>
    <w:tmpl w:val="13A60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CC"/>
    <w:rsid w:val="004105C4"/>
    <w:rsid w:val="00936CC2"/>
    <w:rsid w:val="00B15B46"/>
    <w:rsid w:val="00B33C0B"/>
    <w:rsid w:val="00D93BCC"/>
    <w:rsid w:val="00F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4BDD3443"/>
  <w15:docId w15:val="{21D46DAF-A335-4355-8252-A12EAFFB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7.xml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Etap_2_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tap_2_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'[FinUstoich.xlsx]Анализ финансовой устойчивости '!$D$9:$H$9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'!$D$10:$H$10</c:f>
              <c:numCache>
                <c:formatCode>General</c:formatCode>
                <c:ptCount val="5"/>
                <c:pt idx="0">
                  <c:v>0.19052869779880682</c:v>
                </c:pt>
                <c:pt idx="1">
                  <c:v>0.10992033184554048</c:v>
                </c:pt>
                <c:pt idx="2">
                  <c:v>9.1889093550859766E-2</c:v>
                </c:pt>
                <c:pt idx="3">
                  <c:v>8.479622085988546E-2</c:v>
                </c:pt>
                <c:pt idx="4">
                  <c:v>5.2353328581868044E-2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2-4D88-B441-5C94BF568F78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'!$D$9:$H$9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'!$D$10:$H$10</c:f>
              <c:numCache>
                <c:formatCode>General</c:formatCode>
                <c:ptCount val="5"/>
                <c:pt idx="0">
                  <c:v>0.19052869779880682</c:v>
                </c:pt>
                <c:pt idx="1">
                  <c:v>0.10992033184554048</c:v>
                </c:pt>
                <c:pt idx="2">
                  <c:v>9.1889093550859766E-2</c:v>
                </c:pt>
                <c:pt idx="3">
                  <c:v>8.479622085988546E-2</c:v>
                </c:pt>
                <c:pt idx="4">
                  <c:v>5.2353328581868044E-2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02-4D88-B441-5C94BF568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12488"/>
        <c:axId val="300310136"/>
      </c:lineChart>
      <c:catAx>
        <c:axId val="300312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0136"/>
        <c:crosses val="autoZero"/>
        <c:auto val="1"/>
        <c:lblAlgn val="ctr"/>
        <c:lblOffset val="100"/>
        <c:noMultiLvlLbl val="0"/>
      </c:catAx>
      <c:valAx>
        <c:axId val="30031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24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КДФН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79553559142568E-2"/>
          <c:y val="0.19740728571739893"/>
          <c:w val="0.88969888214866277"/>
          <c:h val="0.6791225858580439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'!$D$27:$H$27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'!$D$28:$H$28</c:f>
              <c:numCache>
                <c:formatCode>General</c:formatCode>
                <c:ptCount val="5"/>
                <c:pt idx="0">
                  <c:v>0.19059452787492284</c:v>
                </c:pt>
                <c:pt idx="1">
                  <c:v>0.44859056734656699</c:v>
                </c:pt>
                <c:pt idx="2">
                  <c:v>0.64860651892868992</c:v>
                </c:pt>
                <c:pt idx="3">
                  <c:v>0.60439773735581193</c:v>
                </c:pt>
                <c:pt idx="4">
                  <c:v>0.49560639823895059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3A-47DF-991F-F10659BB4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05040"/>
        <c:axId val="300313664"/>
      </c:lineChart>
      <c:catAx>
        <c:axId val="30030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3664"/>
        <c:crosses val="autoZero"/>
        <c:auto val="1"/>
        <c:lblAlgn val="ctr"/>
        <c:lblOffset val="100"/>
        <c:noMultiLvlLbl val="0"/>
      </c:catAx>
      <c:valAx>
        <c:axId val="30031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0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КФЗ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'!$D$45:$H$45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'!$D$46:$H$46</c:f>
              <c:numCache>
                <c:formatCode>General</c:formatCode>
                <c:ptCount val="5"/>
                <c:pt idx="0">
                  <c:v>0.80947130220119312</c:v>
                </c:pt>
                <c:pt idx="1">
                  <c:v>0.89007966815445949</c:v>
                </c:pt>
                <c:pt idx="2">
                  <c:v>0.90811090644914028</c:v>
                </c:pt>
                <c:pt idx="3">
                  <c:v>0.91520377914011453</c:v>
                </c:pt>
                <c:pt idx="4">
                  <c:v>0.94764667141813197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66-45E5-A044-74AE65120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07000"/>
        <c:axId val="300305824"/>
      </c:lineChart>
      <c:catAx>
        <c:axId val="300307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05824"/>
        <c:crosses val="autoZero"/>
        <c:auto val="1"/>
        <c:lblAlgn val="ctr"/>
        <c:lblOffset val="100"/>
        <c:noMultiLvlLbl val="0"/>
      </c:catAx>
      <c:valAx>
        <c:axId val="30030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07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КОСОС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'!$D$63:$H$63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'!$D$64:$H$64</c:f>
              <c:numCache>
                <c:formatCode>General</c:formatCode>
                <c:ptCount val="5"/>
                <c:pt idx="0">
                  <c:v>-5.2012016921787821E-3</c:v>
                </c:pt>
                <c:pt idx="1">
                  <c:v>-0.35894583130519436</c:v>
                </c:pt>
                <c:pt idx="2">
                  <c:v>-0.66303157916791067</c:v>
                </c:pt>
                <c:pt idx="3">
                  <c:v>-0.58429515851024372</c:v>
                </c:pt>
                <c:pt idx="4">
                  <c:v>-0.60978992578629365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4-4836-8883-89DBAF1F4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06608"/>
        <c:axId val="300316408"/>
      </c:lineChart>
      <c:catAx>
        <c:axId val="30030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6408"/>
        <c:crosses val="autoZero"/>
        <c:auto val="1"/>
        <c:lblAlgn val="ctr"/>
        <c:lblOffset val="100"/>
        <c:noMultiLvlLbl val="0"/>
      </c:catAx>
      <c:valAx>
        <c:axId val="30031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0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'!$D$81:$H$81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'!$D$82:$H$82</c:f>
              <c:numCache>
                <c:formatCode>General</c:formatCode>
                <c:ptCount val="5"/>
                <c:pt idx="0">
                  <c:v>4.248553165759696</c:v>
                </c:pt>
                <c:pt idx="1">
                  <c:v>8.0974980079681274</c:v>
                </c:pt>
                <c:pt idx="2">
                  <c:v>9.8826843464998291</c:v>
                </c:pt>
                <c:pt idx="3">
                  <c:v>10.792978388180385</c:v>
                </c:pt>
                <c:pt idx="4">
                  <c:v>18.100982250560055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36-442D-B6DD-445A26AA9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17584"/>
        <c:axId val="300318760"/>
      </c:lineChart>
      <c:catAx>
        <c:axId val="30031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8760"/>
        <c:crosses val="autoZero"/>
        <c:auto val="1"/>
        <c:lblAlgn val="ctr"/>
        <c:lblOffset val="100"/>
        <c:noMultiLvlLbl val="0"/>
      </c:catAx>
      <c:valAx>
        <c:axId val="30031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'!$D$99:$H$99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'!$D$100:$H$100</c:f>
              <c:numCache>
                <c:formatCode>General</c:formatCode>
                <c:ptCount val="5"/>
                <c:pt idx="0">
                  <c:v>0.23537424647507904</c:v>
                </c:pt>
                <c:pt idx="1">
                  <c:v>0.12349493621560347</c:v>
                </c:pt>
                <c:pt idx="2">
                  <c:v>0.10118708287532953</c:v>
                </c:pt>
                <c:pt idx="3">
                  <c:v>9.2652830760332178E-2</c:v>
                </c:pt>
                <c:pt idx="4">
                  <c:v>5.5245620715917744E-2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91-4FF1-8543-65FF0F7B0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17976"/>
        <c:axId val="299969512"/>
      </c:lineChart>
      <c:catAx>
        <c:axId val="300317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969512"/>
        <c:crosses val="autoZero"/>
        <c:auto val="1"/>
        <c:lblAlgn val="ctr"/>
        <c:lblOffset val="100"/>
        <c:noMultiLvlLbl val="0"/>
      </c:catAx>
      <c:valAx>
        <c:axId val="29996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17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КМСК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'[FinUstoich.xlsx]Анализ финансовой устойчивости '!$D$135:$H$135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'[FinUstoich.xlsx]Анализ финансовой устойчивости '!$D$136:$H$136</c:f>
              <c:numCache>
                <c:formatCode>General</c:formatCode>
                <c:ptCount val="5"/>
                <c:pt idx="0">
                  <c:v>-2.1810486309061069E-2</c:v>
                </c:pt>
                <c:pt idx="1">
                  <c:v>-0.59831075697211156</c:v>
                </c:pt>
                <c:pt idx="2">
                  <c:v>-0.9108226725184424</c:v>
                </c:pt>
                <c:pt idx="3">
                  <c:v>-0.91667409851660275</c:v>
                </c:pt>
                <c:pt idx="4">
                  <c:v>-2.6233844563156987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E6-447D-BBAE-C61E31D9A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961280"/>
        <c:axId val="299962456"/>
      </c:lineChart>
      <c:catAx>
        <c:axId val="29996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962456"/>
        <c:crosses val="autoZero"/>
        <c:auto val="1"/>
        <c:lblAlgn val="ctr"/>
        <c:lblOffset val="100"/>
        <c:noMultiLvlLbl val="0"/>
      </c:catAx>
      <c:valAx>
        <c:axId val="29996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96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Скобелев</cp:lastModifiedBy>
  <cp:revision>3</cp:revision>
  <dcterms:created xsi:type="dcterms:W3CDTF">2022-06-05T19:00:00Z</dcterms:created>
  <dcterms:modified xsi:type="dcterms:W3CDTF">2022-06-05T19:46:00Z</dcterms:modified>
</cp:coreProperties>
</file>