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57E" w:rsidRPr="00D61343" w:rsidRDefault="00E5657E" w:rsidP="00E5657E">
      <w:pPr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>• Нелинейность: Многие экономические явления не подчиняются линейным закономерностям. Модели машинного обучения, такие как нейронные сети, способны улавливать нелинейные зависимости.</w:t>
      </w:r>
    </w:p>
    <w:p w:rsidR="00E5657E" w:rsidRDefault="00E5657E" w:rsidP="00E5657E">
      <w:pPr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>• Обработка больших данных: Алгоритмы машинного обучения могут обрабатывать и анализировать огромные объемы данных — больше, чем это возможно с помощью традиционных статистических методов.</w:t>
      </w:r>
    </w:p>
    <w:p w:rsidR="00E5657E" w:rsidRPr="00D61343" w:rsidRDefault="00E5657E" w:rsidP="00E5657E">
      <w:pPr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>• Высокая точность прогнозов: Исследования показывают, что модели машинного обучения часто превосходят традиционные модели в точности прогнозирования банкротства.</w:t>
      </w:r>
    </w:p>
    <w:p w:rsidR="00E5657E" w:rsidRDefault="00E5657E">
      <w:pPr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 xml:space="preserve">Например, Ф. </w:t>
      </w:r>
      <w:proofErr w:type="spellStart"/>
      <w:r w:rsidRPr="00D61343">
        <w:rPr>
          <w:rFonts w:ascii="Times New Roman" w:eastAsia="Times New Roman" w:hAnsi="Times New Roman" w:cs="Times New Roman"/>
        </w:rPr>
        <w:t>Барбоза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, Х. Кимура, Э. Альтман выявили, что модели машинного обучения, такие как метод опорных векторов, </w:t>
      </w:r>
      <w:proofErr w:type="spellStart"/>
      <w:r w:rsidRPr="00D61343">
        <w:rPr>
          <w:rFonts w:ascii="Times New Roman" w:eastAsia="Times New Roman" w:hAnsi="Times New Roman" w:cs="Times New Roman"/>
        </w:rPr>
        <w:t>бэггинг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61343">
        <w:rPr>
          <w:rFonts w:ascii="Times New Roman" w:eastAsia="Times New Roman" w:hAnsi="Times New Roman" w:cs="Times New Roman"/>
        </w:rPr>
        <w:t>бустинг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и случайный лес, в среднем демонстрировали примерно на 10% более высокую точность по сравнению с традиционными моделями, такими как дискриминантный анализ, логистическая регрессия.</w:t>
      </w:r>
    </w:p>
    <w:p w:rsidR="00E5657E" w:rsidRDefault="00E5657E"/>
    <w:p w:rsidR="00E5657E" w:rsidRPr="00D61343" w:rsidRDefault="00E5657E" w:rsidP="00E5657E">
      <w:pPr>
        <w:ind w:firstLine="709"/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 xml:space="preserve">Набор данных представляет из себя две выгрузки с платформы </w:t>
      </w:r>
      <w:r>
        <w:rPr>
          <w:rFonts w:ascii="Times New Roman" w:eastAsia="Times New Roman" w:hAnsi="Times New Roman" w:cs="Times New Roman"/>
        </w:rPr>
        <w:t>Spark</w:t>
      </w:r>
      <w:r w:rsidRPr="00D61343">
        <w:rPr>
          <w:rFonts w:ascii="Times New Roman" w:eastAsia="Times New Roman" w:hAnsi="Times New Roman" w:cs="Times New Roman"/>
        </w:rPr>
        <w:t xml:space="preserve">: арбитражные дела и строительные компании малого и среднего размера (определяются по выручке за 2019 отчетный год от 120 млн до 2 млрд рублей), которые были объединены в один файл посредством </w:t>
      </w:r>
      <w:proofErr w:type="spellStart"/>
      <w:r w:rsidRPr="00D61343">
        <w:rPr>
          <w:rFonts w:ascii="Times New Roman" w:eastAsia="Times New Roman" w:hAnsi="Times New Roman" w:cs="Times New Roman"/>
        </w:rPr>
        <w:t>мэтчинга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и добавлением столбца “Дата иска”. </w:t>
      </w:r>
    </w:p>
    <w:p w:rsidR="00E5657E" w:rsidRDefault="00E5657E">
      <w:r w:rsidRPr="00D61343">
        <w:rPr>
          <w:rFonts w:ascii="Times New Roman" w:eastAsia="Times New Roman" w:hAnsi="Times New Roman" w:cs="Times New Roman"/>
        </w:rPr>
        <w:t xml:space="preserve">Выборка взята из </w:t>
      </w:r>
      <w:r>
        <w:rPr>
          <w:rFonts w:ascii="Times New Roman" w:eastAsia="Times New Roman" w:hAnsi="Times New Roman" w:cs="Times New Roman"/>
        </w:rPr>
        <w:t>Spark</w:t>
      </w:r>
      <w:r w:rsidRPr="00D61343">
        <w:rPr>
          <w:rFonts w:ascii="Times New Roman" w:eastAsia="Times New Roman" w:hAnsi="Times New Roman" w:cs="Times New Roman"/>
        </w:rPr>
        <w:t xml:space="preserve"> за период с 2008 года по 2022 размером (14 лет) в 9121 строку. На начальном этапе были выбраны следующие переменные</w:t>
      </w:r>
    </w:p>
    <w:p w:rsidR="00E5657E" w:rsidRPr="00D61343" w:rsidRDefault="00E5657E" w:rsidP="00E5657E">
      <w:pPr>
        <w:ind w:firstLine="709"/>
        <w:rPr>
          <w:rFonts w:ascii="Times New Roman" w:eastAsia="Times New Roman" w:hAnsi="Times New Roman" w:cs="Times New Roman"/>
        </w:rPr>
      </w:pPr>
      <w:r w:rsidRPr="00D61343">
        <w:rPr>
          <w:rFonts w:ascii="Times New Roman" w:eastAsia="Times New Roman" w:hAnsi="Times New Roman" w:cs="Times New Roman"/>
        </w:rPr>
        <w:t xml:space="preserve">Сравниваем столбцы “Ответчик” (арбитражные дела) и “Наименование” (списки компаний), если значения совпадают, то берем в нашу выборку. Далее данные из трех файлов объединяются в один по столбцам, получается общий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с данными по годам. После этого я выбираю все столбцы, которые не относятся к нашим показателям (не числа) и транспонирую их. Считаю количество пропущенных значений в столбцах и убираю те, где процент превышает 30, после этого избавляюсь от компаний с пропущенными значениями. Создаю категориальную переменную, основанную на дате иска. 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- компания является банкротом,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- не является. В отфильтрованные по категориальной переменной данных вычисляем год банкротства (год иска): если до апреля - 2, если в апреле или позже, то -1 (март - месяц отчетности компаний). Оставляю записи, где “Год” совпадает с “Годом иска”. Как итог получаю выборку с обанкротившимися компаниями. Далее делю выборку на тестовую и тренировочную с соотношением тестовых и тренировочных 0.3 (70% тренировочных данных и 30% тестовых от общих 1260) и с соотношением 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 w:rsidRPr="00D61343">
        <w:rPr>
          <w:rFonts w:ascii="Times New Roman" w:eastAsia="Times New Roman" w:hAnsi="Times New Roman" w:cs="Times New Roman"/>
        </w:rPr>
        <w:t xml:space="preserve"> 14% - 86% для обеих выборок соответственно.</w:t>
      </w:r>
    </w:p>
    <w:p w:rsidR="00E5657E" w:rsidRDefault="00E5657E"/>
    <w:p w:rsidR="00371F3F" w:rsidRDefault="00E5657E">
      <w:proofErr w:type="spellStart"/>
      <w:r>
        <w:t>Тк</w:t>
      </w:r>
      <w:proofErr w:type="spellEnd"/>
      <w:r>
        <w:t xml:space="preserve"> у нас в работе присутствуют модели, связанные с деревьями, два основным </w:t>
      </w:r>
      <w:proofErr w:type="spellStart"/>
      <w:r>
        <w:t>гиперпараметра</w:t>
      </w:r>
      <w:proofErr w:type="spellEnd"/>
      <w:r>
        <w:t xml:space="preserve"> это: глубина деревьев и количество, </w:t>
      </w:r>
      <w:r>
        <w:rPr>
          <w:lang w:val="en-US"/>
        </w:rPr>
        <w:t>L</w:t>
      </w:r>
      <w:r w:rsidRPr="00E5657E">
        <w:t xml:space="preserve">1 </w:t>
      </w:r>
      <w:r>
        <w:rPr>
          <w:lang w:val="en-US"/>
        </w:rPr>
        <w:t>L</w:t>
      </w:r>
      <w:r w:rsidRPr="00E5657E">
        <w:t xml:space="preserve">2 </w:t>
      </w:r>
      <w:r>
        <w:t>регуляризация (для предотвращения переобучения), а также несколько специфичных для каждой модели.</w:t>
      </w:r>
    </w:p>
    <w:p w:rsidR="00E5657E" w:rsidRPr="00E5657E" w:rsidRDefault="00E5657E"/>
    <w:p w:rsidR="00E5657E" w:rsidRDefault="00E5657E" w:rsidP="00E5657E">
      <w:r>
        <w:t xml:space="preserve">Наша целевая переменная является категориальной, где </w:t>
      </w:r>
      <w:r>
        <w:rPr>
          <w:lang w:val="en-US"/>
        </w:rPr>
        <w:t>True</w:t>
      </w:r>
      <w:r w:rsidRPr="00713E34">
        <w:t xml:space="preserve"> </w:t>
      </w:r>
      <w:r>
        <w:t>–</w:t>
      </w:r>
      <w:r w:rsidRPr="00713E34">
        <w:t xml:space="preserve"> </w:t>
      </w:r>
      <w:r>
        <w:t xml:space="preserve">обанкротившаяся компания, </w:t>
      </w:r>
      <w:r>
        <w:rPr>
          <w:lang w:val="en-US"/>
        </w:rPr>
        <w:t>False</w:t>
      </w:r>
      <w:r w:rsidRPr="00713E34">
        <w:t xml:space="preserve"> </w:t>
      </w:r>
      <w:r>
        <w:t xml:space="preserve">– здоровая компания. </w:t>
      </w:r>
    </w:p>
    <w:p w:rsidR="00E5657E" w:rsidRPr="00E5657E" w:rsidRDefault="00E5657E"/>
    <w:p w:rsidR="00E5657E" w:rsidRPr="00E5657E" w:rsidRDefault="00E5657E">
      <w:r>
        <w:t xml:space="preserve">Удаление выбросов с помощью </w:t>
      </w:r>
      <w:r>
        <w:rPr>
          <w:lang w:val="en-US"/>
        </w:rPr>
        <w:t>Isolation</w:t>
      </w:r>
      <w:r w:rsidRPr="00E5657E">
        <w:t xml:space="preserve"> </w:t>
      </w:r>
      <w:r>
        <w:rPr>
          <w:lang w:val="en-US"/>
        </w:rPr>
        <w:t>Forest</w:t>
      </w:r>
      <w:r w:rsidRPr="00E5657E">
        <w:t xml:space="preserve"> </w:t>
      </w:r>
      <w:r>
        <w:t>(удалили 3</w:t>
      </w:r>
      <w:r w:rsidRPr="00E5657E">
        <w:t>%</w:t>
      </w:r>
      <w:r>
        <w:t xml:space="preserve"> от выборки)</w:t>
      </w:r>
    </w:p>
    <w:p w:rsidR="00E5657E" w:rsidRPr="00E5657E" w:rsidRDefault="00E5657E"/>
    <w:p w:rsidR="00E5657E" w:rsidRPr="00E5657E" w:rsidRDefault="00E5657E"/>
    <w:p w:rsidR="00E5657E" w:rsidRDefault="00E5657E">
      <w:r w:rsidRPr="00E5657E">
        <w:t xml:space="preserve">В целом, на основе представленных данных можно заключить, что тюнинг </w:t>
      </w:r>
      <w:proofErr w:type="spellStart"/>
      <w:r w:rsidRPr="00E5657E">
        <w:t>гиперпараметров</w:t>
      </w:r>
      <w:proofErr w:type="spellEnd"/>
      <w:r w:rsidRPr="00E5657E">
        <w:t xml:space="preserve"> приносит ожидаемое улучшение в производительности моделей для обоих алгоритмов. Также заметно, что </w:t>
      </w:r>
      <w:proofErr w:type="spellStart"/>
      <w:r w:rsidRPr="00E5657E">
        <w:t>LightGBM</w:t>
      </w:r>
      <w:proofErr w:type="spellEnd"/>
      <w:r w:rsidRPr="00E5657E">
        <w:t xml:space="preserve"> слегка превосходит </w:t>
      </w:r>
      <w:proofErr w:type="spellStart"/>
      <w:r w:rsidRPr="00E5657E">
        <w:t>XGBoost</w:t>
      </w:r>
      <w:proofErr w:type="spellEnd"/>
      <w:r w:rsidRPr="00E5657E">
        <w:t xml:space="preserve"> под каждым аспектом при отсутствии тюнинга </w:t>
      </w:r>
      <w:proofErr w:type="spellStart"/>
      <w:r w:rsidRPr="00E5657E">
        <w:t>гиперпараметров</w:t>
      </w:r>
      <w:proofErr w:type="spellEnd"/>
      <w:r w:rsidRPr="00E5657E">
        <w:t xml:space="preserve">. При настройке </w:t>
      </w:r>
      <w:proofErr w:type="spellStart"/>
      <w:r w:rsidRPr="00E5657E">
        <w:t>гиперпараметров</w:t>
      </w:r>
      <w:proofErr w:type="spellEnd"/>
      <w:r w:rsidRPr="00E5657E">
        <w:t xml:space="preserve"> оба алгоритма показывают схожие результаты, но всё же LGBM имеет небольшое </w:t>
      </w:r>
      <w:r w:rsidRPr="00E5657E">
        <w:lastRenderedPageBreak/>
        <w:t>преимущество в R²</w:t>
      </w:r>
      <w:r>
        <w:t>, это означает лучшую объяснительную способность данной модели</w:t>
      </w:r>
      <w:r w:rsidRPr="00E5657E">
        <w:t>.</w:t>
      </w:r>
      <w:r>
        <w:t xml:space="preserve"> </w:t>
      </w:r>
      <w:proofErr w:type="spellStart"/>
      <w:r>
        <w:rPr>
          <w:lang w:val="en-US"/>
        </w:rPr>
        <w:t>XGoost</w:t>
      </w:r>
      <w:proofErr w:type="spellEnd"/>
      <w:r w:rsidRPr="00E5657E">
        <w:t xml:space="preserve"> </w:t>
      </w:r>
      <w:r>
        <w:t>проще запустить в работу на видеокарте.</w:t>
      </w:r>
    </w:p>
    <w:p w:rsidR="00E5657E" w:rsidRPr="00E5657E" w:rsidRDefault="00E5657E"/>
    <w:p w:rsidR="00E5657E" w:rsidRPr="00E5657E" w:rsidRDefault="00E5657E"/>
    <w:sectPr w:rsidR="00E5657E" w:rsidRPr="00E5657E" w:rsidSect="000301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7E"/>
    <w:rsid w:val="000301BA"/>
    <w:rsid w:val="00371F3F"/>
    <w:rsid w:val="006729E8"/>
    <w:rsid w:val="00E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AD48A"/>
  <w15:chartTrackingRefBased/>
  <w15:docId w15:val="{5468DA0D-FFDC-3B4A-A292-EA53108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2024-04-09T22:21:00Z</dcterms:created>
  <dcterms:modified xsi:type="dcterms:W3CDTF">2024-04-10T00:09:00Z</dcterms:modified>
</cp:coreProperties>
</file>