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Estructuras de control. Investigue la sintaxis de las siguientes estructuras de control incluidas en shell scripting: if case while for select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Las estructuras de control en el shell scripting permiten controlar el flujo de ejecución de un script de shell. A continuación, se muestra la sintaxis básica de varias de estas estructuras de control en shell scripting: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Estructura de control "if":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condición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# Código a ejecutar si la condición es verdadera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# Código a ejecutar si la condición es falsa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2. Estructura de control "case":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case valor 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patrón1)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Código a ejecutar si el valor coincide con patrón1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;;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patrón2)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Código a ejecutar si el valor coincide con patrón2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;;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*)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Código a ejecutar si no coincide con ningún patrón anterior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;;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Estructura de control "while":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while condición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# Código a ejecutar mientras la condición sea verdadera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Estructura de control "for" (para iterar sobre una lista o secuencia de valores):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variable in valor1 valor2 valor3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# Código a ejecutar para cada valor en la lista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4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Estructura de control "select" (para crear menús interactivos en scripts):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opción in opción1 opción2 opción3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case $opción 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opción1)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Código a ejecutar cuando se selecciona opción1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opción2)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Código a ejecutar cuando se selecciona opción2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;;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opción3)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Código a ejecutar cuando se selecciona opción3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;;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*)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Código a ejecutar si se ingresa una opción inválida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;;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esac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