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5f8544686111b6d231e745c59892f820e4f8bd3" w:id="33"/>
    <w:p xmlns:wp14="http://schemas.microsoft.com/office/word/2010/wordml" w14:paraId="0997C9C5" wp14:textId="77777777">
      <w:pPr>
        <w:pStyle w:val="Heading1"/>
      </w:pPr>
      <w:r>
        <w:t xml:space="preserve">Q2C Renewal Delayed Invoicing Enhancement Meeting Notes</w:t>
      </w:r>
    </w:p>
    <w:bookmarkStart w:name="meeting-details" w:id="20"/>
    <w:p xmlns:wp14="http://schemas.microsoft.com/office/word/2010/wordml" w14:paraId="6DC15270" wp14:textId="77777777">
      <w:pPr>
        <w:pStyle w:val="Heading2"/>
      </w:pPr>
      <w:r>
        <w:t xml:space="preserve">Meeting details</w:t>
      </w:r>
    </w:p>
    <w:p xmlns:wp14="http://schemas.microsoft.com/office/word/2010/wordml" w14:paraId="61DACA82" wp14:textId="77777777">
      <w:pPr>
        <w:pStyle w:val="Compact"/>
        <w:numPr>
          <w:ilvl w:val="0"/>
          <w:numId w:val="1001"/>
        </w:numPr>
      </w:pPr>
      <w:r>
        <w:t xml:space="preserve">Date: June 1, 2026</w:t>
      </w:r>
    </w:p>
    <w:p xmlns:wp14="http://schemas.microsoft.com/office/word/2010/wordml" w14:paraId="52582A72" wp14:textId="77777777">
      <w:pPr>
        <w:pStyle w:val="Compact"/>
        <w:numPr>
          <w:ilvl w:val="0"/>
          <w:numId w:val="1001"/>
        </w:numPr>
      </w:pPr>
      <w:r>
        <w:t xml:space="preserve">Duration: 26 minutes</w:t>
      </w:r>
    </w:p>
    <w:p xmlns:wp14="http://schemas.microsoft.com/office/word/2010/wordml" w14:paraId="167448DC" wp14:textId="77777777">
      <w:pPr>
        <w:pStyle w:val="Compact"/>
        <w:numPr>
          <w:ilvl w:val="0"/>
          <w:numId w:val="1001"/>
        </w:numPr>
      </w:pPr>
      <w:r>
        <w:t xml:space="preserve">Topic: Renewal delayed invoicing enhancement for Q2C / CPQ and Oracle</w:t>
      </w:r>
    </w:p>
    <w:p xmlns:wp14="http://schemas.microsoft.com/office/word/2010/wordml" w14:paraId="7B1D4A76" wp14:textId="77777777">
      <w:pPr>
        <w:pStyle w:val="Compact"/>
        <w:numPr>
          <w:ilvl w:val="0"/>
          <w:numId w:val="1001"/>
        </w:numPr>
      </w:pPr>
      <w:r>
        <w:t xml:space="preserve">Purpose: Align on the business scenarios, confirm finance/revenue recognition guardrails, clarify current Oracle behavior versus desired CPQ enhancement, and discuss handling for multi-year renewals.</w:t>
      </w:r>
    </w:p>
    <w:p xmlns:wp14="http://schemas.microsoft.com/office/word/2010/wordml" w14:paraId="0409090C" wp14:textId="77777777">
      <w:pPr>
        <w:pStyle w:val="FirstParagraph"/>
      </w:pPr>
      <w:r>
        <w:t xml:space="preserve">Note: The transcript did not explicitly assign owners or due dates. The action items below include proposed assignees and target dates based on the discussion and meeting close.</w:t>
      </w:r>
    </w:p>
    <w:bookmarkEnd w:id="20"/>
    <w:bookmarkStart w:name="executive-summary" w:id="21"/>
    <w:p xmlns:wp14="http://schemas.microsoft.com/office/word/2010/wordml" w14:paraId="5AFB387A" wp14:textId="77777777">
      <w:pPr>
        <w:pStyle w:val="Heading2"/>
      </w:pPr>
      <w:r>
        <w:t xml:space="preserve">Executive summary</w:t>
      </w:r>
    </w:p>
    <w:p xmlns:wp14="http://schemas.microsoft.com/office/word/2010/wordml" w14:paraId="15B20CD5" wp14:textId="77777777">
      <w:pPr>
        <w:pStyle w:val="FirstParagraph"/>
      </w:pPr>
      <w:r>
        <w:t xml:space="preserve">The team aligned that delayed billing already exists operationally in Oracle/Apex today: orders can be booked while invoice creation is held until a specified date. The enhancement under discussion is primarily to bring that behavior upstream into CPQ for renewals so the invoice timing flows correctly to Oracle without manual holds or offline tracking.</w:t>
      </w:r>
    </w:p>
    <w:p xmlns:wp14="http://schemas.microsoft.com/office/word/2010/wordml" w14:paraId="2457C055" wp14:textId="77777777">
      <w:pPr>
        <w:pStyle w:val="BodyText"/>
      </w:pPr>
      <w:r>
        <w:t xml:space="preserve">Finance clarified the critical revenue recognition guardrail: an invoice must be created in Oracle in the same month the subscription starts. Invoicing before the start month is not the issue; the concern is when invoice creation slips to a later month than the subscription start date.</w:t>
      </w:r>
    </w:p>
    <w:p xmlns:wp14="http://schemas.microsoft.com/office/word/2010/wordml" w14:paraId="1C09C3B3" wp14:textId="77777777">
      <w:pPr>
        <w:pStyle w:val="BodyText"/>
      </w:pPr>
      <w:r>
        <w:t xml:space="preserve">The team also distinguished between common delayed-billing scenarios and more complex edge cases. The common use case is customers wanting the invoice dated on the renewal start date or the start of their budget year, not earlier; true post-start-month invoicing appears to be less common and needs validation with concrete examples.</w:t>
      </w:r>
    </w:p>
    <w:p xmlns:wp14="http://schemas.microsoft.com/office/word/2010/wordml" w14:paraId="7868E65F" wp14:textId="77777777">
      <w:pPr>
        <w:pStyle w:val="BodyText"/>
      </w:pPr>
      <w:r>
        <w:t xml:space="preserve">For multi-year renewals billed from a single quote, the discussion leaned toward custom payment terms as the likely mechanism. Without that, Oracle could invoice the entire multi-year deal immediately upon booking.</w:t>
      </w:r>
    </w:p>
    <w:bookmarkEnd w:id="21"/>
    <w:bookmarkStart w:name="key-discussion-points" w:id="28"/>
    <w:p xmlns:wp14="http://schemas.microsoft.com/office/word/2010/wordml" w14:paraId="45D8E4E8" wp14:textId="77777777">
      <w:pPr>
        <w:pStyle w:val="Heading2"/>
      </w:pPr>
      <w:r>
        <w:t xml:space="preserve">Key discussion points</w:t>
      </w:r>
    </w:p>
    <w:bookmarkStart w:name="X57dd0d5eec6729b223aa49b6f1fca90de6556b2" w:id="22"/>
    <w:p xmlns:wp14="http://schemas.microsoft.com/office/word/2010/wordml" w14:paraId="67480D51" wp14:textId="77777777">
      <w:pPr>
        <w:pStyle w:val="Heading3"/>
      </w:pPr>
      <w:r>
        <w:t xml:space="preserve">1. Current-state process in Oracle</w:t>
      </w:r>
    </w:p>
    <w:p xmlns:wp14="http://schemas.microsoft.com/office/word/2010/wordml" w14:paraId="4E95B540" wp14:textId="77777777">
      <w:pPr>
        <w:pStyle w:val="FirstParagraph"/>
      </w:pPr>
      <w:r>
        <w:t xml:space="preserve">Joann and Brenda confirmed that Oracle/Apex already supports booking the order and holding invoice creation until a specified date. They described this as an existing delayed billing process, not a new one.</w:t>
      </w:r>
    </w:p>
    <w:p xmlns:wp14="http://schemas.microsoft.com/office/word/2010/wordml" w14:paraId="3BC4D333" wp14:textId="77777777">
      <w:pPr>
        <w:pStyle w:val="BodyText"/>
      </w:pPr>
      <w:r>
        <w:t xml:space="preserve">The current delayed billing concept was described as not changing services or term dates; it simply delays invoicing until a date that matches the customer’s budget timing.</w:t>
      </w:r>
    </w:p>
    <w:bookmarkEnd w:id="22"/>
    <w:bookmarkStart w:name="X92b2214666a436fc5ef601b71e257f374c9a169" w:id="23"/>
    <w:p xmlns:wp14="http://schemas.microsoft.com/office/word/2010/wordml" w14:paraId="46190CA0" wp14:textId="77777777">
      <w:pPr>
        <w:pStyle w:val="Heading3"/>
      </w:pPr>
      <w:r>
        <w:t xml:space="preserve">2. Enhancement intent for CPQ renewals</w:t>
      </w:r>
    </w:p>
    <w:p xmlns:wp14="http://schemas.microsoft.com/office/word/2010/wordml" w14:paraId="704B2FE2" wp14:textId="77777777">
      <w:pPr>
        <w:pStyle w:val="FirstParagraph"/>
      </w:pPr>
      <w:r>
        <w:t xml:space="preserve">Carrie summarized the target outcome: allow the team to book the renewal order but delay invoice creation until the requested date, such as 7/1, instead of tracking the order manually and pushing it later by hand.</w:t>
      </w:r>
    </w:p>
    <w:p xmlns:wp14="http://schemas.microsoft.com/office/word/2010/wordml" w14:paraId="61E9E7CB" wp14:textId="77777777">
      <w:pPr>
        <w:pStyle w:val="BodyText"/>
      </w:pPr>
      <w:r>
        <w:t xml:space="preserve">Angie then reframed the enhancement as updating renewal invoice trigger timing in CPQ so the behavior passes to Oracle and reduces the need for manual invoice holds there.</w:t>
      </w:r>
    </w:p>
    <w:bookmarkEnd w:id="23"/>
    <w:bookmarkStart w:name="Xee853508f214db373bfa122dfa3e2ea9e6224fd" w:id="24"/>
    <w:p xmlns:wp14="http://schemas.microsoft.com/office/word/2010/wordml" w14:paraId="0F3CEB5A" wp14:textId="77777777">
      <w:pPr>
        <w:pStyle w:val="Heading3"/>
      </w:pPr>
      <w:r>
        <w:t xml:space="preserve">3. Finance / revenue recognition guardrails</w:t>
      </w:r>
    </w:p>
    <w:p xmlns:wp14="http://schemas.microsoft.com/office/word/2010/wordml" w14:paraId="7F45761D" wp14:textId="77777777">
      <w:pPr>
        <w:pStyle w:val="FirstParagraph"/>
      </w:pPr>
      <w:r>
        <w:t xml:space="preserve">Angie stated the finance line in the sand clearly: if an invoice is not created in Oracle in the month the subscription starts, revenue recognition becomes an issue.</w:t>
      </w:r>
    </w:p>
    <w:p xmlns:wp14="http://schemas.microsoft.com/office/word/2010/wordml" w14:paraId="245D7096" wp14:textId="77777777">
      <w:pPr>
        <w:pStyle w:val="BodyText"/>
      </w:pPr>
      <w:r>
        <w:t xml:space="preserve">The group aligned that the most common scenario is not a problem case: customers typically do not want an invoice dated before July 1 when the renewal starts July 1, and those invoices are generally lined up and run on July 1.</w:t>
      </w:r>
    </w:p>
    <w:p xmlns:wp14="http://schemas.microsoft.com/office/word/2010/wordml" w14:paraId="7F112C49" wp14:textId="77777777">
      <w:pPr>
        <w:pStyle w:val="BodyText"/>
      </w:pPr>
      <w:r>
        <w:t xml:space="preserve">The risk case is when invoicing moves after the subscription start month or when the subscription start date itself is pushed, effectively giving away time and creating revenue recognition exposure.</w:t>
      </w:r>
    </w:p>
    <w:bookmarkEnd w:id="24"/>
    <w:bookmarkStart w:name="X281c0b3aee2c5107e2c9afe912794dd586c1526" w:id="25"/>
    <w:p xmlns:wp14="http://schemas.microsoft.com/office/word/2010/wordml" w14:paraId="1D08D05A" wp14:textId="77777777">
      <w:pPr>
        <w:pStyle w:val="Heading3"/>
      </w:pPr>
      <w:r>
        <w:t xml:space="preserve">4. Credit/rebill and exception handling</w:t>
      </w:r>
    </w:p>
    <w:p xmlns:wp14="http://schemas.microsoft.com/office/word/2010/wordml" w14:paraId="32988946" wp14:textId="77777777">
      <w:pPr>
        <w:pStyle w:val="FirstParagraph"/>
      </w:pPr>
      <w:r>
        <w:t xml:space="preserve">Carrie explained that when an invoice has already been created and later needs to be re-dated or aligned to a PO timing issue, the team usually handles it with a credit and rebill.</w:t>
      </w:r>
    </w:p>
    <w:p xmlns:wp14="http://schemas.microsoft.com/office/word/2010/wordml" w14:paraId="53EE454A" wp14:textId="77777777">
      <w:pPr>
        <w:pStyle w:val="BodyText"/>
      </w:pPr>
      <w:r>
        <w:t xml:space="preserve">Angie said that approach is likely okay as long as the subscription start date does not change. If the start date shifts and a customer effectively skips a month, those cases need explicit review.</w:t>
      </w:r>
    </w:p>
    <w:bookmarkEnd w:id="25"/>
    <w:bookmarkStart w:name="X00fa63463e4309ce2d88407f24ca071da6afc77" w:id="26"/>
    <w:p xmlns:wp14="http://schemas.microsoft.com/office/word/2010/wordml" w14:paraId="4F87F008" wp14:textId="77777777">
      <w:pPr>
        <w:pStyle w:val="Heading3"/>
      </w:pPr>
      <w:r>
        <w:t xml:space="preserve">5. Special handling (SH)</w:t>
      </w:r>
    </w:p>
    <w:p xmlns:wp14="http://schemas.microsoft.com/office/word/2010/wordml" w14:paraId="29E27B1B" wp14:textId="77777777">
      <w:pPr>
        <w:pStyle w:val="FirstParagraph"/>
      </w:pPr>
      <w:r>
        <w:t xml:space="preserve">The team aligned that SH special handling is the expected mechanism when an invoice should not go to the customer. Angie explicitly said that is what they would expect, and Joann confirmed SH is what they use when an invoice should not go somewhere.</w:t>
      </w:r>
    </w:p>
    <w:p xmlns:wp14="http://schemas.microsoft.com/office/word/2010/wordml" w14:paraId="39CED04C" wp14:textId="77777777">
      <w:pPr>
        <w:pStyle w:val="BodyText"/>
      </w:pPr>
      <w:r>
        <w:t xml:space="preserve">Joann also noted that on the renewal side this is less common than on new sales, but the pattern still exists for exception scenarios.</w:t>
      </w:r>
    </w:p>
    <w:bookmarkEnd w:id="26"/>
    <w:bookmarkStart w:name="Xee0613acfac20419a3a39524cb3748239166410" w:id="27"/>
    <w:p xmlns:wp14="http://schemas.microsoft.com/office/word/2010/wordml" w14:paraId="3538D4FA" wp14:textId="77777777">
      <w:pPr>
        <w:pStyle w:val="Heading3"/>
      </w:pPr>
      <w:r>
        <w:t xml:space="preserve">6. Multi-year renewal handling</w:t>
      </w:r>
    </w:p>
    <w:p xmlns:wp14="http://schemas.microsoft.com/office/word/2010/wordml" w14:paraId="3CF25296" wp14:textId="77777777">
      <w:pPr>
        <w:pStyle w:val="FirstParagraph"/>
      </w:pPr>
      <w:r>
        <w:t xml:space="preserve">Michele raised a separate but related need for multi-year renewals: one quote may cover multiple years, but only the first year should invoice initially while later years bill in their future periods.</w:t>
      </w:r>
    </w:p>
    <w:p xmlns:wp14="http://schemas.microsoft.com/office/word/2010/wordml" w14:paraId="21392E50" wp14:textId="77777777">
      <w:pPr>
        <w:pStyle w:val="BodyText"/>
      </w:pPr>
      <w:r>
        <w:t xml:space="preserve">Joann described the current Oracle workaround as processing consecutive years as individual renewals and placing invoice interface holds on the future renewals so the invoice generates in the next term.</w:t>
      </w:r>
    </w:p>
    <w:p xmlns:wp14="http://schemas.microsoft.com/office/word/2010/wordml" w14:paraId="11CC2B47" wp14:textId="77777777">
      <w:pPr>
        <w:pStyle w:val="BodyText"/>
      </w:pPr>
      <w:r>
        <w:t xml:space="preserve">The group then discussed that for a true one-quote, one-order multi-year model, custom payment terms are likely the right solution because they can specify both the amount and the invoice date for each year. John confirmed that understanding.</w:t>
      </w:r>
    </w:p>
    <w:p xmlns:wp14="http://schemas.microsoft.com/office/word/2010/wordml" w14:paraId="472362BA" wp14:textId="77777777">
      <w:pPr>
        <w:pStyle w:val="BodyText"/>
      </w:pPr>
      <w:r>
        <w:t xml:space="preserve">The team also called out the risk of not having custom payment terms: Oracle could invoice all years almost immediately after booking if the order comes through with standard terms only.</w:t>
      </w:r>
    </w:p>
    <w:bookmarkEnd w:id="27"/>
    <w:bookmarkEnd w:id="28"/>
    <w:bookmarkStart w:name="decisions-and-alignment" w:id="29"/>
    <w:p xmlns:wp14="http://schemas.microsoft.com/office/word/2010/wordml" w14:paraId="4CBA2A19" wp14:textId="77777777">
      <w:pPr>
        <w:pStyle w:val="Heading2"/>
      </w:pPr>
      <w:r>
        <w:t xml:space="preserve">Decisions and alignment</w:t>
      </w:r>
    </w:p>
    <w:p xmlns:wp14="http://schemas.microsoft.com/office/word/2010/wordml" w14:paraId="61F18B10" wp14:textId="77777777">
      <w:pPr>
        <w:pStyle w:val="Compact"/>
        <w:numPr>
          <w:ilvl w:val="0"/>
          <w:numId w:val="1002"/>
        </w:numPr>
      </w:pPr>
      <w:r>
        <w:t xml:space="preserve">Delayed billing already exists in Oracle; the enhancement is mainly about enabling/replicating that behavior correctly from CPQ for renewals.</w:t>
      </w:r>
    </w:p>
    <w:p xmlns:wp14="http://schemas.microsoft.com/office/word/2010/wordml" w14:paraId="4E7575A3" wp14:textId="77777777">
      <w:pPr>
        <w:pStyle w:val="Compact"/>
        <w:numPr>
          <w:ilvl w:val="0"/>
          <w:numId w:val="1002"/>
        </w:numPr>
      </w:pPr>
      <w:r>
        <w:t xml:space="preserve">The common delayed invoicing use case is valid when the invoice date aligns to the renewal start date or budget year start and still lands within the subscription start month.</w:t>
      </w:r>
    </w:p>
    <w:p xmlns:wp14="http://schemas.microsoft.com/office/word/2010/wordml" w14:paraId="5C67DAEA" wp14:textId="77777777">
      <w:pPr>
        <w:pStyle w:val="Compact"/>
        <w:numPr>
          <w:ilvl w:val="0"/>
          <w:numId w:val="1002"/>
        </w:numPr>
      </w:pPr>
      <w:r>
        <w:t xml:space="preserve">Scenarios where the invoice date is after the subscription start month need further validation because of revenue recognition implications.</w:t>
      </w:r>
    </w:p>
    <w:p xmlns:wp14="http://schemas.microsoft.com/office/word/2010/wordml" w14:paraId="7F2F8083" wp14:textId="77777777">
      <w:pPr>
        <w:pStyle w:val="Compact"/>
        <w:numPr>
          <w:ilvl w:val="0"/>
          <w:numId w:val="1002"/>
        </w:numPr>
      </w:pPr>
      <w:r>
        <w:t xml:space="preserve">Credit/rebill remains acceptable for certain correction scenarios as long as the subscription start date is not being pushed out.</w:t>
      </w:r>
    </w:p>
    <w:p xmlns:wp14="http://schemas.microsoft.com/office/word/2010/wordml" w14:paraId="1828BEEF" wp14:textId="77777777">
      <w:pPr>
        <w:pStyle w:val="Compact"/>
        <w:numPr>
          <w:ilvl w:val="0"/>
          <w:numId w:val="1002"/>
        </w:numPr>
      </w:pPr>
      <w:r>
        <w:t xml:space="preserve">SH should continue to be the expected control when an invoice should not be sent to the customer.</w:t>
      </w:r>
    </w:p>
    <w:p xmlns:wp14="http://schemas.microsoft.com/office/word/2010/wordml" w14:paraId="157A5726" wp14:textId="77777777">
      <w:pPr>
        <w:pStyle w:val="Compact"/>
        <w:numPr>
          <w:ilvl w:val="0"/>
          <w:numId w:val="1002"/>
        </w:numPr>
      </w:pPr>
      <w:r>
        <w:t xml:space="preserve">Multi-year one-quote billing likely needs custom payment terms to control both billing dates and yearly amounts.</w:t>
      </w:r>
    </w:p>
    <w:p xmlns:wp14="http://schemas.microsoft.com/office/word/2010/wordml" w14:paraId="22B3F4B0" wp14:textId="77777777">
      <w:pPr>
        <w:pStyle w:val="Compact"/>
        <w:numPr>
          <w:ilvl w:val="0"/>
          <w:numId w:val="1002"/>
        </w:numPr>
      </w:pPr>
      <w:r>
        <w:t xml:space="preserve">Once a solution is built, the team expects to test it in the same MAPS environment first.</w:t>
      </w:r>
    </w:p>
    <w:bookmarkEnd w:id="29"/>
    <w:bookmarkStart w:name="open-questions-and-risks" w:id="30"/>
    <w:p xmlns:wp14="http://schemas.microsoft.com/office/word/2010/wordml" w14:paraId="39F0E256" wp14:textId="77777777">
      <w:pPr>
        <w:pStyle w:val="Heading2"/>
      </w:pPr>
      <w:r>
        <w:t xml:space="preserve">Open questions and risks</w:t>
      </w:r>
    </w:p>
    <w:p xmlns:wp14="http://schemas.microsoft.com/office/word/2010/wordml" w14:paraId="02B5E110" wp14:textId="77777777">
      <w:pPr>
        <w:pStyle w:val="Compact"/>
        <w:numPr>
          <w:ilvl w:val="0"/>
          <w:numId w:val="1003"/>
        </w:numPr>
      </w:pPr>
      <w:r>
        <w:t xml:space="preserve">How many real renewal scenarios actually require invoicing after the subscription start month, versus simply invoicing on the start date or budget-year start date?</w:t>
      </w:r>
    </w:p>
    <w:p xmlns:wp14="http://schemas.microsoft.com/office/word/2010/wordml" w14:paraId="45AAF656" wp14:textId="77777777">
      <w:pPr>
        <w:pStyle w:val="Compact"/>
        <w:numPr>
          <w:ilvl w:val="0"/>
          <w:numId w:val="1003"/>
        </w:numPr>
      </w:pPr>
      <w:r>
        <w:t xml:space="preserve">Where exactly is the boundary between delayed billing and payment terms, especially for facilities / BOCES customers and similar exceptions?</w:t>
      </w:r>
    </w:p>
    <w:p xmlns:wp14="http://schemas.microsoft.com/office/word/2010/wordml" w14:paraId="2C304705" wp14:textId="77777777">
      <w:pPr>
        <w:pStyle w:val="Compact"/>
        <w:numPr>
          <w:ilvl w:val="0"/>
          <w:numId w:val="1003"/>
        </w:numPr>
      </w:pPr>
      <w:r>
        <w:t xml:space="preserve">Can CPQ support the multi-year use case without splitting one customer-facing multi-year quote into multiple renewal orders?</w:t>
      </w:r>
    </w:p>
    <w:p xmlns:wp14="http://schemas.microsoft.com/office/word/2010/wordml" w14:paraId="1013FC13" wp14:textId="77777777">
      <w:pPr>
        <w:pStyle w:val="Compact"/>
        <w:numPr>
          <w:ilvl w:val="0"/>
          <w:numId w:val="1003"/>
        </w:numPr>
      </w:pPr>
      <w:r>
        <w:t xml:space="preserve">Are there any scenarios other than SH where the business intentionally prevents an invoice from being sent to the customer?</w:t>
      </w:r>
    </w:p>
    <w:p xmlns:wp14="http://schemas.microsoft.com/office/word/2010/wordml" w14:paraId="4027BD9C" wp14:textId="77777777">
      <w:pPr>
        <w:pStyle w:val="Compact"/>
        <w:numPr>
          <w:ilvl w:val="0"/>
          <w:numId w:val="1003"/>
        </w:numPr>
      </w:pPr>
      <w:r>
        <w:t xml:space="preserve">The team has not yet seen the in-development CPQ solution, so some design assumptions still need to be confirmed with KA and during testing.</w:t>
      </w:r>
    </w:p>
    <w:bookmarkEnd w:id="30"/>
    <w:bookmarkStart w:name="action-items-and-next-steps" w:id="31"/>
    <w:p xmlns:wp14="http://schemas.microsoft.com/office/word/2010/wordml" w14:paraId="0CB1F2FD" wp14:textId="77777777">
      <w:pPr>
        <w:pStyle w:val="Heading2"/>
      </w:pPr>
      <w:r>
        <w:t xml:space="preserve">Action items and next steps</w:t>
      </w:r>
    </w:p>
    <w:tbl>
      <w:tblPr>
        <w:tblStyle w:val="Table"/>
        <w:tblW w:w="939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20" w:firstRow="1" w:lastRow="0" w:firstColumn="0" w:lastColumn="0" w:noHBand="0" w:noVBand="0"/>
      </w:tblPr>
      <w:tblGrid>
        <w:gridCol w:w="705"/>
        <w:gridCol w:w="3075"/>
        <w:gridCol w:w="1965"/>
        <w:gridCol w:w="1452"/>
        <w:gridCol w:w="2199"/>
      </w:tblGrid>
      <w:tr xmlns:wp14="http://schemas.microsoft.com/office/word/2010/wordml" w:rsidTr="1F4221A2" w14:paraId="472B6E08" wp14:textId="77777777">
        <w:trPr>
          <w:tblHeader w:val="on"/>
        </w:trPr>
        <w:tc>
          <w:tcPr>
            <w:cnfStyle w:val="000010000000" w:firstRow="0" w:lastRow="0" w:firstColumn="0" w:lastColumn="0" w:oddVBand="1" w:evenVBand="0" w:oddHBand="0" w:evenHBand="0" w:firstRowFirstColumn="0" w:firstRowLastColumn="0" w:lastRowFirstColumn="0" w:lastRowLastColumn="0"/>
            <w:tcW w:w="705" w:type="dxa"/>
            <w:tcMar/>
          </w:tcPr>
          <w:p w14:paraId="0A970367" wp14:textId="77777777">
            <w:pPr>
              <w:pStyle w:val="Compact"/>
            </w:pPr>
            <w:r>
              <w:t xml:space="preserve">ID</w:t>
            </w:r>
          </w:p>
        </w:tc>
        <w:tc>
          <w:tcPr>
            <w:cnfStyle w:val="000001000000" w:firstRow="0" w:lastRow="0" w:firstColumn="0" w:lastColumn="0" w:oddVBand="0" w:evenVBand="1" w:oddHBand="0" w:evenHBand="0" w:firstRowFirstColumn="0" w:firstRowLastColumn="0" w:lastRowFirstColumn="0" w:lastRowLastColumn="0"/>
            <w:tcW w:w="3075" w:type="dxa"/>
            <w:tcMar/>
          </w:tcPr>
          <w:p w14:paraId="5CE446E2" wp14:textId="77777777">
            <w:pPr>
              <w:pStyle w:val="Compact"/>
            </w:pPr>
            <w:r>
              <w:t xml:space="preserve">Action</w:t>
            </w:r>
          </w:p>
        </w:tc>
        <w:tc>
          <w:tcPr>
            <w:cnfStyle w:val="000010000000" w:firstRow="0" w:lastRow="0" w:firstColumn="0" w:lastColumn="0" w:oddVBand="1" w:evenVBand="0" w:oddHBand="0" w:evenHBand="0" w:firstRowFirstColumn="0" w:firstRowLastColumn="0" w:lastRowFirstColumn="0" w:lastRowLastColumn="0"/>
            <w:tcW w:w="1965" w:type="dxa"/>
            <w:tcMar/>
          </w:tcPr>
          <w:p w14:paraId="4DF0349A" wp14:textId="77777777">
            <w:pPr>
              <w:pStyle w:val="Compact"/>
            </w:pPr>
            <w:r>
              <w:t xml:space="preserve">Proposed assignee</w:t>
            </w:r>
          </w:p>
        </w:tc>
        <w:tc>
          <w:tcPr>
            <w:cnfStyle w:val="000001000000" w:firstRow="0" w:lastRow="0" w:firstColumn="0" w:lastColumn="0" w:oddVBand="0" w:evenVBand="1" w:oddHBand="0" w:evenHBand="0" w:firstRowFirstColumn="0" w:firstRowLastColumn="0" w:lastRowFirstColumn="0" w:lastRowLastColumn="0"/>
            <w:tcW w:w="1452" w:type="dxa"/>
            <w:tcMar/>
          </w:tcPr>
          <w:p w14:paraId="77BE34DA" wp14:textId="77777777">
            <w:pPr>
              <w:pStyle w:val="Compact"/>
            </w:pPr>
            <w:r>
              <w:t xml:space="preserve">Proposed due date</w:t>
            </w:r>
          </w:p>
        </w:tc>
        <w:tc>
          <w:tcPr>
            <w:cnfStyle w:val="000010000000" w:firstRow="0" w:lastRow="0" w:firstColumn="0" w:lastColumn="0" w:oddVBand="1" w:evenVBand="0" w:oddHBand="0" w:evenHBand="0" w:firstRowFirstColumn="0" w:firstRowLastColumn="0" w:lastRowFirstColumn="0" w:lastRowLastColumn="0"/>
            <w:tcW w:w="2199" w:type="dxa"/>
            <w:tcMar/>
          </w:tcPr>
          <w:p w14:paraId="25546E3C" wp14:textId="77777777">
            <w:pPr>
              <w:pStyle w:val="Compact"/>
            </w:pPr>
            <w:r>
              <w:t xml:space="preserve">Notes</w:t>
            </w:r>
          </w:p>
        </w:tc>
      </w:tr>
      <w:tr xmlns:wp14="http://schemas.microsoft.com/office/word/2010/wordml" w:rsidTr="1F4221A2" w14:paraId="4A0838D2"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649841BE" wp14:textId="77777777">
            <w:pPr>
              <w:pStyle w:val="Compact"/>
            </w:pPr>
            <w:r>
              <w:t xml:space="preserve">1</w:t>
            </w:r>
          </w:p>
        </w:tc>
        <w:tc>
          <w:tcPr>
            <w:cnfStyle w:val="000001000000" w:firstRow="0" w:lastRow="0" w:firstColumn="0" w:lastColumn="0" w:oddVBand="0" w:evenVBand="1" w:oddHBand="0" w:evenHBand="0" w:firstRowFirstColumn="0" w:firstRowLastColumn="0" w:lastRowFirstColumn="0" w:lastRowLastColumn="0"/>
            <w:tcW w:w="3075" w:type="dxa"/>
            <w:tcMar/>
          </w:tcPr>
          <w:p w14:paraId="6FD7FF08" wp14:textId="77777777">
            <w:pPr>
              <w:pStyle w:val="Compact"/>
            </w:pPr>
            <w:r>
              <w:t xml:space="preserve">Share meeting recap and questions with KA; request any follow-up questions and confirm next regroup session.</w:t>
            </w:r>
          </w:p>
        </w:tc>
        <w:tc>
          <w:tcPr>
            <w:cnfStyle w:val="000010000000" w:firstRow="0" w:lastRow="0" w:firstColumn="0" w:lastColumn="0" w:oddVBand="1" w:evenVBand="0" w:oddHBand="0" w:evenHBand="0" w:firstRowFirstColumn="0" w:firstRowLastColumn="0" w:lastRowFirstColumn="0" w:lastRowLastColumn="0"/>
            <w:tcW w:w="1965" w:type="dxa"/>
            <w:tcMar/>
          </w:tcPr>
          <w:p w14:paraId="0109C7DD" wp14:textId="77777777">
            <w:pPr>
              <w:pStyle w:val="Compact"/>
            </w:pPr>
            <w:r>
              <w:t xml:space="preserve">Jennifer Relles</w:t>
            </w:r>
          </w:p>
        </w:tc>
        <w:tc>
          <w:tcPr>
            <w:cnfStyle w:val="000001000000" w:firstRow="0" w:lastRow="0" w:firstColumn="0" w:lastColumn="0" w:oddVBand="0" w:evenVBand="1" w:oddHBand="0" w:evenHBand="0" w:firstRowFirstColumn="0" w:firstRowLastColumn="0" w:lastRowFirstColumn="0" w:lastRowLastColumn="0"/>
            <w:tcW w:w="1452" w:type="dxa"/>
            <w:tcMar/>
          </w:tcPr>
          <w:p w14:paraId="749E7153" wp14:textId="40284CCA">
            <w:pPr>
              <w:pStyle w:val="Compact"/>
            </w:pPr>
            <w:r w:rsidR="1F4221A2">
              <w:rPr/>
              <w:t>June 1, 2026</w:t>
            </w:r>
          </w:p>
        </w:tc>
        <w:tc>
          <w:tcPr>
            <w:cnfStyle w:val="000010000000" w:firstRow="0" w:lastRow="0" w:firstColumn="0" w:lastColumn="0" w:oddVBand="1" w:evenVBand="0" w:oddHBand="0" w:evenHBand="0" w:firstRowFirstColumn="0" w:firstRowLastColumn="0" w:lastRowFirstColumn="0" w:lastRowLastColumn="0"/>
            <w:tcW w:w="2199" w:type="dxa"/>
            <w:tcMar/>
          </w:tcPr>
          <w:p w14:paraId="09196852" wp14:textId="77777777">
            <w:pPr>
              <w:pStyle w:val="Compact"/>
            </w:pPr>
            <w:r>
              <w:t xml:space="preserve">Jennifer closed the meeting stating they would share the discussion with KA and regroup soon.</w:t>
            </w:r>
          </w:p>
        </w:tc>
      </w:tr>
      <w:tr xmlns:wp14="http://schemas.microsoft.com/office/word/2010/wordml" w:rsidTr="1F4221A2" w14:paraId="18A3D743"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18F999B5" wp14:textId="77777777">
            <w:pPr>
              <w:pStyle w:val="Compact"/>
            </w:pPr>
            <w:r>
              <w:t xml:space="preserve">2</w:t>
            </w:r>
          </w:p>
        </w:tc>
        <w:tc>
          <w:tcPr>
            <w:cnfStyle w:val="000001000000" w:firstRow="0" w:lastRow="0" w:firstColumn="0" w:lastColumn="0" w:oddVBand="0" w:evenVBand="1" w:oddHBand="0" w:evenHBand="0" w:firstRowFirstColumn="0" w:firstRowLastColumn="0" w:lastRowFirstColumn="0" w:lastRowLastColumn="0"/>
            <w:tcW w:w="3075" w:type="dxa"/>
            <w:tcMar/>
          </w:tcPr>
          <w:p w14:paraId="21BAB14F" wp14:textId="77777777">
            <w:pPr>
              <w:pStyle w:val="Compact"/>
            </w:pPr>
            <w:r>
              <w:t xml:space="preserve">Gather 3-5 concrete business examples of delayed invoicing scenarios, especially any case where invoice creation would occur after the subscription start month.</w:t>
            </w:r>
          </w:p>
        </w:tc>
        <w:tc>
          <w:tcPr>
            <w:cnfStyle w:val="000010000000" w:firstRow="0" w:lastRow="0" w:firstColumn="0" w:lastColumn="0" w:oddVBand="1" w:evenVBand="0" w:oddHBand="0" w:evenHBand="0" w:firstRowFirstColumn="0" w:firstRowLastColumn="0" w:lastRowFirstColumn="0" w:lastRowLastColumn="0"/>
            <w:tcW w:w="1965" w:type="dxa"/>
            <w:tcMar/>
          </w:tcPr>
          <w:p w14:paraId="6C776020" wp14:textId="77777777">
            <w:pPr>
              <w:pStyle w:val="Compact"/>
            </w:pPr>
            <w:r>
              <w:t xml:space="preserve">Michele Talbott, Carrie Bentley, John Miller</w:t>
            </w:r>
          </w:p>
        </w:tc>
        <w:tc>
          <w:tcPr>
            <w:cnfStyle w:val="000001000000" w:firstRow="0" w:lastRow="0" w:firstColumn="0" w:lastColumn="0" w:oddVBand="0" w:evenVBand="1" w:oddHBand="0" w:evenHBand="0" w:firstRowFirstColumn="0" w:firstRowLastColumn="0" w:lastRowFirstColumn="0" w:lastRowLastColumn="0"/>
            <w:tcW w:w="1452" w:type="dxa"/>
            <w:tcMar/>
          </w:tcPr>
          <w:p w14:paraId="061AE611" wp14:textId="77777777">
            <w:pPr>
              <w:pStyle w:val="Compact"/>
            </w:pPr>
            <w:r>
              <w:t xml:space="preserve">June 3, 2026</w:t>
            </w:r>
          </w:p>
        </w:tc>
        <w:tc>
          <w:tcPr>
            <w:cnfStyle w:val="000010000000" w:firstRow="0" w:lastRow="0" w:firstColumn="0" w:lastColumn="0" w:oddVBand="1" w:evenVBand="0" w:oddHBand="0" w:evenHBand="0" w:firstRowFirstColumn="0" w:firstRowLastColumn="0" w:lastRowFirstColumn="0" w:lastRowLastColumn="0"/>
            <w:tcW w:w="2199" w:type="dxa"/>
            <w:tcMar/>
          </w:tcPr>
          <w:p w14:paraId="7DAC5208" wp14:textId="77777777">
            <w:pPr>
              <w:pStyle w:val="Compact"/>
            </w:pPr>
            <w:r>
              <w:t xml:space="preserve">Angie asked for actual scenarios to understand whether the risky revenue-recognition case truly exists and how often.</w:t>
            </w:r>
          </w:p>
        </w:tc>
      </w:tr>
      <w:tr xmlns:wp14="http://schemas.microsoft.com/office/word/2010/wordml" w:rsidTr="1F4221A2" w14:paraId="39D11FB0"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5FCD5EC4" wp14:textId="77777777">
            <w:pPr>
              <w:pStyle w:val="Compact"/>
            </w:pPr>
            <w:r>
              <w:t xml:space="preserve">3</w:t>
            </w:r>
          </w:p>
        </w:tc>
        <w:tc>
          <w:tcPr>
            <w:cnfStyle w:val="000001000000" w:firstRow="0" w:lastRow="0" w:firstColumn="0" w:lastColumn="0" w:oddVBand="0" w:evenVBand="1" w:oddHBand="0" w:evenHBand="0" w:firstRowFirstColumn="0" w:firstRowLastColumn="0" w:lastRowFirstColumn="0" w:lastRowLastColumn="0"/>
            <w:tcW w:w="3075" w:type="dxa"/>
            <w:tcMar/>
          </w:tcPr>
          <w:p w14:paraId="5F4C2598" wp14:textId="77777777">
            <w:pPr>
              <w:pStyle w:val="Compact"/>
            </w:pPr>
            <w:r>
              <w:t xml:space="preserve">Document and circulate the finance rule for acceptable delayed billing versus revenue-recognition risk, including treatment when subscription start dates change.</w:t>
            </w:r>
          </w:p>
        </w:tc>
        <w:tc>
          <w:tcPr>
            <w:cnfStyle w:val="000010000000" w:firstRow="0" w:lastRow="0" w:firstColumn="0" w:lastColumn="0" w:oddVBand="1" w:evenVBand="0" w:oddHBand="0" w:evenHBand="0" w:firstRowFirstColumn="0" w:firstRowLastColumn="0" w:lastRowFirstColumn="0" w:lastRowLastColumn="0"/>
            <w:tcW w:w="1965" w:type="dxa"/>
            <w:tcMar/>
          </w:tcPr>
          <w:p w14:paraId="114C230F" wp14:textId="77777777">
            <w:pPr>
              <w:pStyle w:val="Compact"/>
            </w:pPr>
            <w:r>
              <w:t xml:space="preserve">Angie Francisco</w:t>
            </w:r>
          </w:p>
        </w:tc>
        <w:tc>
          <w:tcPr>
            <w:cnfStyle w:val="000001000000" w:firstRow="0" w:lastRow="0" w:firstColumn="0" w:lastColumn="0" w:oddVBand="0" w:evenVBand="1" w:oddHBand="0" w:evenHBand="0" w:firstRowFirstColumn="0" w:firstRowLastColumn="0" w:lastRowFirstColumn="0" w:lastRowLastColumn="0"/>
            <w:tcW w:w="1452" w:type="dxa"/>
            <w:tcMar/>
          </w:tcPr>
          <w:p w14:paraId="33D9B070" wp14:textId="77777777">
            <w:pPr>
              <w:pStyle w:val="Compact"/>
            </w:pPr>
            <w:r>
              <w:t xml:space="preserve">June 5, 2026</w:t>
            </w:r>
          </w:p>
        </w:tc>
        <w:tc>
          <w:tcPr>
            <w:cnfStyle w:val="000010000000" w:firstRow="0" w:lastRow="0" w:firstColumn="0" w:lastColumn="0" w:oddVBand="1" w:evenVBand="0" w:oddHBand="0" w:evenHBand="0" w:firstRowFirstColumn="0" w:firstRowLastColumn="0" w:lastRowFirstColumn="0" w:lastRowLastColumn="0"/>
            <w:tcW w:w="2199" w:type="dxa"/>
            <w:tcMar/>
          </w:tcPr>
          <w:p w14:paraId="1FC8A5AD" wp14:textId="77777777">
            <w:pPr>
              <w:pStyle w:val="Compact"/>
            </w:pPr>
            <w:r>
              <w:t xml:space="preserve">Angie defined the month-of-subscription-start rule and flagged pushed start dates as the trigger for bad rev rec exposure.</w:t>
            </w:r>
          </w:p>
        </w:tc>
      </w:tr>
      <w:tr xmlns:wp14="http://schemas.microsoft.com/office/word/2010/wordml" w:rsidTr="1F4221A2" w14:paraId="281ED001"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78941E47" wp14:textId="3A475D13">
            <w:pPr>
              <w:pStyle w:val="Compact"/>
            </w:pPr>
            <w:r w:rsidR="19C2F04D">
              <w:rPr/>
              <w:t>4</w:t>
            </w:r>
          </w:p>
        </w:tc>
        <w:tc>
          <w:tcPr>
            <w:cnfStyle w:val="000001000000" w:firstRow="0" w:lastRow="0" w:firstColumn="0" w:lastColumn="0" w:oddVBand="0" w:evenVBand="1" w:oddHBand="0" w:evenHBand="0" w:firstRowFirstColumn="0" w:firstRowLastColumn="0" w:lastRowFirstColumn="0" w:lastRowLastColumn="0"/>
            <w:tcW w:w="3075" w:type="dxa"/>
            <w:tcMar/>
          </w:tcPr>
          <w:p w14:paraId="164FA845" wp14:textId="77777777">
            <w:pPr>
              <w:pStyle w:val="Compact"/>
            </w:pPr>
            <w:r>
              <w:t xml:space="preserve">Define the decision tree for when to use delayed billing, payment terms, credit/rebill, and SH.</w:t>
            </w:r>
          </w:p>
        </w:tc>
        <w:tc>
          <w:tcPr>
            <w:cnfStyle w:val="000010000000" w:firstRow="0" w:lastRow="0" w:firstColumn="0" w:lastColumn="0" w:oddVBand="1" w:evenVBand="0" w:oddHBand="0" w:evenHBand="0" w:firstRowFirstColumn="0" w:firstRowLastColumn="0" w:lastRowFirstColumn="0" w:lastRowLastColumn="0"/>
            <w:tcW w:w="1965" w:type="dxa"/>
            <w:tcMar/>
          </w:tcPr>
          <w:p w14:paraId="43B325F4" wp14:textId="77777777">
            <w:pPr>
              <w:pStyle w:val="Compact"/>
            </w:pPr>
            <w:r>
              <w:t xml:space="preserve">Joann Raymond, Brenda Cable, Angie Francisco</w:t>
            </w:r>
          </w:p>
        </w:tc>
        <w:tc>
          <w:tcPr>
            <w:cnfStyle w:val="000001000000" w:firstRow="0" w:lastRow="0" w:firstColumn="0" w:lastColumn="0" w:oddVBand="0" w:evenVBand="1" w:oddHBand="0" w:evenHBand="0" w:firstRowFirstColumn="0" w:firstRowLastColumn="0" w:lastRowFirstColumn="0" w:lastRowLastColumn="0"/>
            <w:tcW w:w="1452" w:type="dxa"/>
            <w:tcMar/>
          </w:tcPr>
          <w:p w14:paraId="61DF85E2" wp14:textId="77777777">
            <w:pPr>
              <w:pStyle w:val="Compact"/>
            </w:pPr>
            <w:r>
              <w:t xml:space="preserve">June 8, 2026</w:t>
            </w:r>
          </w:p>
        </w:tc>
        <w:tc>
          <w:tcPr>
            <w:cnfStyle w:val="000010000000" w:firstRow="0" w:lastRow="0" w:firstColumn="0" w:lastColumn="0" w:oddVBand="1" w:evenVBand="0" w:oddHBand="0" w:evenHBand="0" w:firstRowFirstColumn="0" w:firstRowLastColumn="0" w:lastRowFirstColumn="0" w:lastRowLastColumn="0"/>
            <w:tcW w:w="2199" w:type="dxa"/>
            <w:tcMar/>
          </w:tcPr>
          <w:p w14:paraId="017EB8E7" wp14:textId="77777777">
            <w:pPr>
              <w:pStyle w:val="Compact"/>
            </w:pPr>
            <w:r>
              <w:t xml:space="preserve">The meeting surfaced overlap between these concepts and the need for clearer operational guidance.</w:t>
            </w:r>
          </w:p>
        </w:tc>
      </w:tr>
      <w:tr xmlns:wp14="http://schemas.microsoft.com/office/word/2010/wordml" w:rsidTr="1F4221A2" w14:paraId="4063C417"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29B4EA11" wp14:textId="77777777">
            <w:pPr>
              <w:pStyle w:val="Compact"/>
            </w:pPr>
            <w:r>
              <w:t xml:space="preserve">6</w:t>
            </w:r>
          </w:p>
        </w:tc>
        <w:tc>
          <w:tcPr>
            <w:cnfStyle w:val="000001000000" w:firstRow="0" w:lastRow="0" w:firstColumn="0" w:lastColumn="0" w:oddVBand="0" w:evenVBand="1" w:oddHBand="0" w:evenHBand="0" w:firstRowFirstColumn="0" w:firstRowLastColumn="0" w:lastRowFirstColumn="0" w:lastRowLastColumn="0"/>
            <w:tcW w:w="3075" w:type="dxa"/>
            <w:tcMar/>
          </w:tcPr>
          <w:p w14:paraId="692D4483" wp14:textId="77777777">
            <w:pPr>
              <w:pStyle w:val="Compact"/>
            </w:pPr>
            <w:r>
              <w:t xml:space="preserve">Confirm the multi-year renewal design for one-quote deals, including whether custom payment terms can control invoice dates and annual billing amounts without splitting the order.</w:t>
            </w:r>
          </w:p>
        </w:tc>
        <w:tc>
          <w:tcPr>
            <w:cnfStyle w:val="000010000000" w:firstRow="0" w:lastRow="0" w:firstColumn="0" w:lastColumn="0" w:oddVBand="1" w:evenVBand="0" w:oddHBand="0" w:evenHBand="0" w:firstRowFirstColumn="0" w:firstRowLastColumn="0" w:lastRowFirstColumn="0" w:lastRowLastColumn="0"/>
            <w:tcW w:w="1965" w:type="dxa"/>
            <w:tcMar/>
          </w:tcPr>
          <w:p w14:paraId="62443F58" wp14:textId="77777777">
            <w:pPr>
              <w:pStyle w:val="Compact"/>
            </w:pPr>
            <w:r>
              <w:t xml:space="preserve">Brenda Cable, John Miller, Joann Raymond, Michele Talbott</w:t>
            </w:r>
          </w:p>
        </w:tc>
        <w:tc>
          <w:tcPr>
            <w:cnfStyle w:val="000001000000" w:firstRow="0" w:lastRow="0" w:firstColumn="0" w:lastColumn="0" w:oddVBand="0" w:evenVBand="1" w:oddHBand="0" w:evenHBand="0" w:firstRowFirstColumn="0" w:firstRowLastColumn="0" w:lastRowFirstColumn="0" w:lastRowLastColumn="0"/>
            <w:tcW w:w="1452" w:type="dxa"/>
            <w:tcMar/>
          </w:tcPr>
          <w:p w14:paraId="7CAB81F2" wp14:textId="3B7E8BCE">
            <w:pPr>
              <w:pStyle w:val="Compact"/>
            </w:pPr>
            <w:r w:rsidR="1F4221A2">
              <w:rPr/>
              <w:t xml:space="preserve">June </w:t>
            </w:r>
            <w:r w:rsidR="38733E27">
              <w:rPr/>
              <w:t>5</w:t>
            </w:r>
            <w:r w:rsidR="1F4221A2">
              <w:rPr/>
              <w:t>, 2026</w:t>
            </w:r>
          </w:p>
        </w:tc>
        <w:tc>
          <w:tcPr>
            <w:cnfStyle w:val="000010000000" w:firstRow="0" w:lastRow="0" w:firstColumn="0" w:lastColumn="0" w:oddVBand="1" w:evenVBand="0" w:oddHBand="0" w:evenHBand="0" w:firstRowFirstColumn="0" w:firstRowLastColumn="0" w:lastRowFirstColumn="0" w:lastRowLastColumn="0"/>
            <w:tcW w:w="2199" w:type="dxa"/>
            <w:tcMar/>
          </w:tcPr>
          <w:p w14:paraId="55FC1506" wp14:textId="77777777">
            <w:pPr>
              <w:pStyle w:val="Compact"/>
            </w:pPr>
            <w:r>
              <w:t xml:space="preserve">The group discussed custom payment terms as the likely solution and highlighted the risk of full immediate invoicing if they are not used.</w:t>
            </w:r>
          </w:p>
        </w:tc>
      </w:tr>
      <w:tr xmlns:wp14="http://schemas.microsoft.com/office/word/2010/wordml" w:rsidTr="1F4221A2" w14:paraId="5EBFD1B9" wp14:textId="77777777">
        <w:tc>
          <w:tcPr>
            <w:cnfStyle w:val="000010000000" w:firstRow="0" w:lastRow="0" w:firstColumn="0" w:lastColumn="0" w:oddVBand="1" w:evenVBand="0" w:oddHBand="0" w:evenHBand="0" w:firstRowFirstColumn="0" w:firstRowLastColumn="0" w:lastRowFirstColumn="0" w:lastRowLastColumn="0"/>
            <w:tcW w:w="705" w:type="dxa"/>
            <w:tcMar/>
          </w:tcPr>
          <w:p w14:paraId="75697EEC" wp14:textId="77777777">
            <w:pPr>
              <w:pStyle w:val="Compact"/>
            </w:pPr>
            <w:r>
              <w:t xml:space="preserve">7</w:t>
            </w:r>
          </w:p>
        </w:tc>
        <w:tc>
          <w:tcPr>
            <w:cnfStyle w:val="000001000000" w:firstRow="0" w:lastRow="0" w:firstColumn="0" w:lastColumn="0" w:oddVBand="0" w:evenVBand="1" w:oddHBand="0" w:evenHBand="0" w:firstRowFirstColumn="0" w:firstRowLastColumn="0" w:lastRowFirstColumn="0" w:lastRowLastColumn="0"/>
            <w:tcW w:w="3075" w:type="dxa"/>
            <w:tcMar/>
          </w:tcPr>
          <w:p w14:paraId="44ED292D" wp14:textId="77777777">
            <w:pPr>
              <w:pStyle w:val="Compact"/>
            </w:pPr>
            <w:r>
              <w:t xml:space="preserve">Prepare test scenarios and validation criteria for delayed invoicing, SH behavior, multi-year billing, and any revenue-recognition edge cases.</w:t>
            </w:r>
          </w:p>
        </w:tc>
        <w:tc>
          <w:tcPr>
            <w:cnfStyle w:val="000010000000" w:firstRow="0" w:lastRow="0" w:firstColumn="0" w:lastColumn="0" w:oddVBand="1" w:evenVBand="0" w:oddHBand="0" w:evenHBand="0" w:firstRowFirstColumn="0" w:firstRowLastColumn="0" w:lastRowFirstColumn="0" w:lastRowLastColumn="0"/>
            <w:tcW w:w="1965" w:type="dxa"/>
            <w:tcMar/>
          </w:tcPr>
          <w:p w14:paraId="6AD35E04" wp14:textId="77777777">
            <w:pPr>
              <w:pStyle w:val="Compact"/>
            </w:pPr>
            <w:r>
              <w:t xml:space="preserve">Angie Francisco, KA, Q2C team</w:t>
            </w:r>
          </w:p>
        </w:tc>
        <w:tc>
          <w:tcPr>
            <w:cnfStyle w:val="000001000000" w:firstRow="0" w:lastRow="0" w:firstColumn="0" w:lastColumn="0" w:oddVBand="0" w:evenVBand="1" w:oddHBand="0" w:evenHBand="0" w:firstRowFirstColumn="0" w:firstRowLastColumn="0" w:lastRowFirstColumn="0" w:lastRowLastColumn="0"/>
            <w:tcW w:w="1452" w:type="dxa"/>
            <w:tcMar/>
          </w:tcPr>
          <w:p w14:paraId="2A6CBF70" wp14:textId="529A92CE">
            <w:pPr>
              <w:pStyle w:val="Compact"/>
            </w:pPr>
            <w:r w:rsidR="1F4221A2">
              <w:rPr/>
              <w:t xml:space="preserve">June </w:t>
            </w:r>
            <w:r w:rsidR="3A0A12FA">
              <w:rPr/>
              <w:t>3</w:t>
            </w:r>
            <w:r w:rsidR="1F4221A2">
              <w:rPr/>
              <w:t>, 2026</w:t>
            </w:r>
          </w:p>
        </w:tc>
        <w:tc>
          <w:tcPr>
            <w:cnfStyle w:val="000010000000" w:firstRow="0" w:lastRow="0" w:firstColumn="0" w:lastColumn="0" w:oddVBand="1" w:evenVBand="0" w:oddHBand="0" w:evenHBand="0" w:firstRowFirstColumn="0" w:firstRowLastColumn="0" w:lastRowFirstColumn="0" w:lastRowLastColumn="0"/>
            <w:tcW w:w="2199" w:type="dxa"/>
            <w:tcMar/>
          </w:tcPr>
          <w:p w14:paraId="4E19C17E" wp14:textId="77777777">
            <w:pPr>
              <w:pStyle w:val="Compact"/>
            </w:pPr>
            <w:r>
              <w:t xml:space="preserve">Angie said they want to test the solution once built and expects initial validation in the MAPS environment.</w:t>
            </w:r>
          </w:p>
        </w:tc>
      </w:tr>
    </w:tbl>
    <w:bookmarkEnd w:id="31"/>
    <w:bookmarkStart w:name="suggested-pm-follow-up-summary" w:id="32"/>
    <w:p xmlns:wp14="http://schemas.microsoft.com/office/word/2010/wordml" w14:paraId="2D5E7B3E" wp14:textId="084BFBC9">
      <w:pPr>
        <w:pStyle w:val="Heading2"/>
      </w:pPr>
      <w:r w:rsidR="1F4221A2">
        <w:rPr/>
        <w:t>PM follow-up summary</w:t>
      </w:r>
    </w:p>
    <w:p xmlns:wp14="http://schemas.microsoft.com/office/word/2010/wordml" w14:paraId="1EEB4AF5" wp14:textId="77777777">
      <w:pPr>
        <w:pStyle w:val="FirstParagraph"/>
      </w:pPr>
      <w:r>
        <w:t xml:space="preserve">The meeting produced solid alignment on the primary renewal delayed-invoicing use case and clarified that the biggest unresolved items are the true frequency of post-start-month invoicing scenarios, the exact line between delayed billing and payment terms, and the design for multi-year one-quote renewals.</w:t>
      </w:r>
    </w:p>
    <w:p xmlns:wp14="http://schemas.microsoft.com/office/word/2010/wordml" w14:paraId="57CB5632" wp14:textId="77777777">
      <w:pPr>
        <w:pStyle w:val="BodyText"/>
      </w:pPr>
      <w:r>
        <w:t xml:space="preserve">The immediate next step is to package the discussion for KA, collect any follow-up questions, and then lock down the design and testing approach before build validation begins.</w:t>
      </w:r>
    </w:p>
    <w:p xmlns:wp14="http://schemas.microsoft.com/office/word/2010/wordml" w14:paraId="1E6EF0FD" wp14:textId="77777777">
      <w:pPr>
        <w:pStyle w:val="BodyText"/>
      </w:pPr>
      <w:r>
        <w:rPr>
          <w:i/>
          <w:iCs/>
        </w:rPr>
        <w:t xml:space="preserve">Co-authored with Glean</w:t>
      </w:r>
    </w:p>
    <w:bookmarkEnd w:id="32"/>
    <w:bookmarkEnd w:id="33"/>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10A988D"/>
    <w:rsid w:val="010A988D"/>
    <w:rsid w:val="045E1F7A"/>
    <w:rsid w:val="174675DA"/>
    <w:rsid w:val="174675DA"/>
    <w:rsid w:val="19C2F04D"/>
    <w:rsid w:val="1D7E3D6C"/>
    <w:rsid w:val="1F4221A2"/>
    <w:rsid w:val="38733E27"/>
    <w:rsid w:val="3A0A12FA"/>
    <w:rsid w:val="4F057CB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5E529"/>
  <w15:docId w15:val="{B9AF185B-E690-4873-9E49-41F81CBA3BD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963995E37A646BAC8F00EB6ED27F5" ma:contentTypeVersion="12" ma:contentTypeDescription="Create a new document." ma:contentTypeScope="" ma:versionID="9e8baf7b7ae61a5c673fbaccbea46124">
  <xsd:schema xmlns:xsd="http://www.w3.org/2001/XMLSchema" xmlns:xs="http://www.w3.org/2001/XMLSchema" xmlns:p="http://schemas.microsoft.com/office/2006/metadata/properties" xmlns:ns2="63fae64a-6376-4dd6-a7fd-b649cc64909e" xmlns:ns3="3566b82e-12b4-414a-b529-7e0b65267acd" targetNamespace="http://schemas.microsoft.com/office/2006/metadata/properties" ma:root="true" ma:fieldsID="c0d3512868ef972224e676f0525b4410" ns2:_="" ns3:_="">
    <xsd:import namespace="63fae64a-6376-4dd6-a7fd-b649cc64909e"/>
    <xsd:import namespace="3566b82e-12b4-414a-b529-7e0b65267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ae64a-6376-4dd6-a7fd-b649cc649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2bfd833-7074-40f8-8fad-abdc3d32d45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66b82e-12b4-414a-b529-7e0b65267ac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77c446-8e0b-4de6-b5ec-159a590fa61c}" ma:internalName="TaxCatchAll" ma:showField="CatchAllData" ma:web="3566b82e-12b4-414a-b529-7e0b65267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66b82e-12b4-414a-b529-7e0b65267acd" xsi:nil="true"/>
    <lcf76f155ced4ddcb4097134ff3c332f xmlns="63fae64a-6376-4dd6-a7fd-b649cc6490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EA0A23-5095-40D6-A434-5DAC873F8829}"/>
</file>

<file path=customXml/itemProps2.xml><?xml version="1.0" encoding="utf-8"?>
<ds:datastoreItem xmlns:ds="http://schemas.openxmlformats.org/officeDocument/2006/customXml" ds:itemID="{521E1B92-C909-44A3-9421-C4BBF8E89119}"/>
</file>

<file path=customXml/itemProps3.xml><?xml version="1.0" encoding="utf-8"?>
<ds:datastoreItem xmlns:ds="http://schemas.openxmlformats.org/officeDocument/2006/customXml" ds:itemID="{491BB029-F8A1-4030-B365-E94FCA5AA9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Relles</cp:lastModifiedBy>
  <dcterms:created xsi:type="dcterms:W3CDTF">2026-06-01T19:39:09Z</dcterms:created>
  <dcterms:modified xsi:type="dcterms:W3CDTF">2026-06-01T19:42:37Z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0x010100496963995E37A646BAC8F00EB6ED27F5</vt:lpwstr>
  </property>
</Properties>
</file>