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1"/>
          <w:szCs w:val="31"/>
        </w:rPr>
        <w:t xml:space="preserve">Kéllia Umuhuza Gatete</w:t>
      </w:r>
    </w:p>
    <w:p>
      <w:pPr>
        <w:spacing w:after="1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Mechanical &amp; Aerospace Engineer | Mechanical Design • Robotics Hardware • Test &amp; Validation • R&amp;D</w:t>
      </w:r>
    </w:p>
    <w:p>
      <w:pPr>
        <w:spacing w:after="7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kg5133@alumni.princeton.edu  |  (609) 375-7945  |  kelliagatete.github.io</w:t>
      </w:r>
    </w:p>
    <w:p>
      <w:pPr>
        <w:pBdr>
          <w:bottom w:val="single" w:color="000000" w:sz="6" w:space="1"/>
        </w:pBdr>
        <w:spacing w:after="30" w:before="62"/>
      </w:pPr>
      <w:r>
        <w:rPr>
          <w:rFonts w:ascii="Calibri" w:cs="Calibri" w:eastAsia="Calibri" w:hAnsi="Calibri"/>
          <w:b/>
          <w:bCs/>
          <w:spacing w:val="16"/>
          <w:sz w:val="18"/>
          <w:szCs w:val="18"/>
        </w:rPr>
        <w:t xml:space="preserve">EDUCATION</w:t>
      </w:r>
    </w:p>
    <w:p>
      <w:pPr>
        <w:tabs>
          <w:tab w:val="right" w:pos="11040"/>
        </w:tabs>
        <w:spacing w:after="0" w:before="3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Princeton University, Princeton, NJ</w:t>
      </w:r>
      <w:r>
        <w:rPr>
          <w:rFonts w:ascii="Calibri" w:cs="Calibri" w:eastAsia="Calibri" w:hAnsi="Calibri"/>
          <w:sz w:val="18"/>
          <w:szCs w:val="18"/>
        </w:rPr>
        <w:tab/>
      </w: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May 2026</w:t>
      </w:r>
    </w:p>
    <w:p>
      <w:p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B.S.E., Mechanical &amp; Aerospace Engineering | Minor in Robotics — ABET-accredited programs in Mechanical and Aerospace Engineering.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Relevant Coursework: </w:t>
      </w:r>
      <w:r>
        <w:rPr>
          <w:rFonts w:ascii="Calibri" w:cs="Calibri" w:eastAsia="Calibri" w:hAnsi="Calibri"/>
          <w:sz w:val="17"/>
          <w:szCs w:val="17"/>
        </w:rPr>
        <w:t xml:space="preserve">Engineering Design; Microprocessors for Measurement &amp; Control; Autonomous Fabrication &amp; Robotics; Materials Science; Fluid Dynamics; Rocket &amp; Air-Breathing Propulsion</w:t>
      </w:r>
    </w:p>
    <w:p>
      <w:pPr>
        <w:pBdr>
          <w:bottom w:val="single" w:color="000000" w:sz="6" w:space="1"/>
        </w:pBdr>
        <w:spacing w:after="30" w:before="62"/>
      </w:pPr>
      <w:r>
        <w:rPr>
          <w:rFonts w:ascii="Calibri" w:cs="Calibri" w:eastAsia="Calibri" w:hAnsi="Calibri"/>
          <w:b/>
          <w:bCs/>
          <w:spacing w:val="16"/>
          <w:sz w:val="18"/>
          <w:szCs w:val="18"/>
        </w:rPr>
        <w:t xml:space="preserve">TECHNICAL SKILLS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Design &amp; Manufacturing: </w:t>
      </w:r>
      <w:r>
        <w:rPr>
          <w:rFonts w:ascii="Calibri" w:cs="Calibri" w:eastAsia="Calibri" w:hAnsi="Calibri"/>
          <w:sz w:val="17"/>
          <w:szCs w:val="17"/>
        </w:rPr>
        <w:t xml:space="preserve">Fusion 360, Rhino 8, Simplify3D/G-code, CAD/CAM, FEA, 3D printing, manual machining, materials selection, rapid prototyping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Testing &amp; Instrumentation: </w:t>
      </w:r>
      <w:r>
        <w:rPr>
          <w:rFonts w:ascii="Calibri" w:cs="Calibri" w:eastAsia="Calibri" w:hAnsi="Calibri"/>
          <w:sz w:val="17"/>
          <w:szCs w:val="17"/>
        </w:rPr>
        <w:t xml:space="preserve">MTS SENB/compression testing, rheometry, data acquisition, calibration and error analysis, thermal-resistance modelling, thermal cycling, dust/abrasion testing, pressure transducers, oscilloscopes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Robotics &amp; Controls: </w:t>
      </w:r>
      <w:r>
        <w:rPr>
          <w:rFonts w:ascii="Calibri" w:cs="Calibri" w:eastAsia="Calibri" w:hAnsi="Calibri"/>
          <w:sz w:val="17"/>
          <w:szCs w:val="17"/>
        </w:rPr>
        <w:t xml:space="preserve">Arduino/ATmega328P, Teensy, Raspberry Pi, ABB RobotStudio/RAPID/FlexPendant, SCARA, Hall-effect and temperature sensors, servos/relays, assembly programming, PID control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Software: </w:t>
      </w:r>
      <w:r>
        <w:rPr>
          <w:rFonts w:ascii="Calibri" w:cs="Calibri" w:eastAsia="Calibri" w:hAnsi="Calibri"/>
          <w:sz w:val="17"/>
          <w:szCs w:val="17"/>
        </w:rPr>
        <w:t xml:space="preserve">Python, MATLAB/Simulink, C++, JavaScript, LabVIEW, Ansys STK/Astrogator, SPSS</w:t>
      </w:r>
    </w:p>
    <w:p>
      <w:pPr>
        <w:pBdr>
          <w:bottom w:val="single" w:color="000000" w:sz="6" w:space="1"/>
        </w:pBdr>
        <w:spacing w:after="30" w:before="62"/>
      </w:pPr>
      <w:r>
        <w:rPr>
          <w:rFonts w:ascii="Calibri" w:cs="Calibri" w:eastAsia="Calibri" w:hAnsi="Calibri"/>
          <w:b/>
          <w:bCs/>
          <w:spacing w:val="16"/>
          <w:sz w:val="18"/>
          <w:szCs w:val="18"/>
        </w:rPr>
        <w:t xml:space="preserve">ENGINEERING &amp; RESEARCH EXPERIENCE</w:t>
      </w:r>
    </w:p>
    <w:p>
      <w:pPr>
        <w:tabs>
          <w:tab w:val="right" w:pos="11040"/>
        </w:tabs>
        <w:spacing w:after="0" w:before="3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Senior Thesis Researcher — OSCAR MARSKIN, Princeton MAE</w:t>
      </w:r>
      <w:r>
        <w:rPr>
          <w:rFonts w:ascii="Calibri" w:cs="Calibri" w:eastAsia="Calibri" w:hAnsi="Calibri"/>
          <w:sz w:val="18"/>
          <w:szCs w:val="18"/>
        </w:rPr>
        <w:tab/>
      </w: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Sep 2025 – Apr 2026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Multimaterial soft-robotics protection and sensing system for Mars-inspired environments; co-authored 130-page thesis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Co-designed and fabricated MARSKIN, a six-material flexible environmental skin for an origami crawler, combining TPU, EcoFlex, aerogel, PETG-PTFE, aluminium and a superhydrophobic coating; balanced insulation, structural support, adhesion, dust and abrasion protection, and compliant motion while moving from a circular test article to an OSCAR-specific panelized geometry compatible with folding.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Validated MARSKIN against 2 controls using conductive/radiant heating, 30-min cold exposure, 3 hot–cold cycles, dust and abrasion: across 3 heat-lamp distances, maintained ~24–27 °C peak through-thickness ΔT versus 4.6 °C for controls; at 75 °C conductive heating, improved peak/mean ΔT by ~85% with no visible delamination.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Built the onboard sensing and data pipeline on a Raspberry Pi Zero 2 W, synchronising contact TMP117 and non-contact MLX90614 measurements at 1 Hz with 1080p day/night imaging every 10 s.</w:t>
      </w:r>
    </w:p>
    <w:p>
      <w:pPr>
        <w:tabs>
          <w:tab w:val="right" w:pos="11040"/>
        </w:tabs>
        <w:spacing w:after="0" w:before="3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ACEE Summer Research Intern — Ju Lab, Princeton</w:t>
      </w:r>
      <w:r>
        <w:rPr>
          <w:rFonts w:ascii="Calibri" w:cs="Calibri" w:eastAsia="Calibri" w:hAnsi="Calibri"/>
          <w:sz w:val="18"/>
          <w:szCs w:val="18"/>
        </w:rPr>
        <w:tab/>
      </w: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Summer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Combustion &amp; Low Carbon Energy Conversion Laboratory | Prof. Yiguang Ju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Investigated design-stage dielectric-barrier-discharge plasma conversion of CO₂ to graphene at ~400 °C and evaluated 2 optical diagnostics — laser absorption spectroscopy and laser-induced fluorescence — for real-time CO/CO₂ monitoring and reactor optimisation.</w:t>
      </w:r>
    </w:p>
    <w:p>
      <w:pPr>
        <w:tabs>
          <w:tab w:val="right" w:pos="11040"/>
        </w:tabs>
        <w:spacing w:after="0" w:before="3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Research &amp; Gender Intern — Aegis Trust, Kigali, Rwanda</w:t>
      </w:r>
      <w:r>
        <w:rPr>
          <w:rFonts w:ascii="Calibri" w:cs="Calibri" w:eastAsia="Calibri" w:hAnsi="Calibri"/>
          <w:sz w:val="18"/>
          <w:szCs w:val="18"/>
        </w:rPr>
        <w:tab/>
      </w: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Summers 2023 &amp; 2024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Two-year gender-norms programme with the University of Rwanda Centre for Gender Studies | Funded 2× by the Summer Social Impact Internship Fund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Analysed a 612-participant baseline study in SPSS across 5 districts and triangulated the quantitative results against document review, semi-structured interviews and a reflection workshop; the programme reached 3,753 stakeholders against a 2,600 target.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Built assessment criteria for programme outcomes and co-developed an awards scheme with the Centre for Gender Studies, selecting 50 recipients through district committees — the deliverables that outlasted the funding cycle.</w:t>
      </w:r>
    </w:p>
    <w:p>
      <w:pPr>
        <w:pBdr>
          <w:bottom w:val="single" w:color="000000" w:sz="6" w:space="1"/>
        </w:pBdr>
        <w:spacing w:after="30" w:before="62"/>
      </w:pPr>
      <w:r>
        <w:rPr>
          <w:rFonts w:ascii="Calibri" w:cs="Calibri" w:eastAsia="Calibri" w:hAnsi="Calibri"/>
          <w:b/>
          <w:bCs/>
          <w:spacing w:val="16"/>
          <w:sz w:val="18"/>
          <w:szCs w:val="18"/>
        </w:rPr>
        <w:t xml:space="preserve">SELECTED ENGINEERING PROJECTS</w:t>
      </w:r>
    </w:p>
    <w:p>
      <w:pPr>
        <w:tabs>
          <w:tab w:val="right" w:pos="11040"/>
        </w:tabs>
        <w:spacing w:after="0" w:before="3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LUREX Lunar Mission — Operations/Payload &amp; CCD</w:t>
      </w:r>
      <w:r>
        <w:rPr>
          <w:rFonts w:ascii="Calibri" w:cs="Calibri" w:eastAsia="Calibri" w:hAnsi="Calibri"/>
          <w:sz w:val="18"/>
          <w:szCs w:val="18"/>
        </w:rPr>
        <w:tab/>
      </w: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Spring 2026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Rebuilt a spacecraft onboard-computer budget after design-review feedback, replacing a percentage-based allocation with a throughput-driven method: sized workload in KIPS by software function across 5 operating modes and closed the governing case at 14.29 MHz against 1,000 MHz available; separately owned the mission risk matrix and cost compliance across 8 subsystems against a $175M cap.</w:t>
      </w:r>
    </w:p>
    <w:p>
      <w:pPr>
        <w:tabs>
          <w:tab w:val="right" w:pos="11040"/>
        </w:tabs>
        <w:spacing w:after="0" w:before="3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Robotic Additive Manufacturing — CEE 374</w:t>
      </w:r>
      <w:r>
        <w:rPr>
          <w:rFonts w:ascii="Calibri" w:cs="Calibri" w:eastAsia="Calibri" w:hAnsi="Calibri"/>
          <w:sz w:val="18"/>
          <w:szCs w:val="18"/>
        </w:rPr>
        <w:tab/>
      </w: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Fall 2025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Ran SCARA and ABB IRB-6400/6700 6-DOF robotic AM workflows with G-code, RobotStudio/RAPID/FlexPendant, real-time height adjustment, and 1K/2K concrete extrusion; fabricated 20×23×75 mm architected cement beams at 65% infill for 7-day MTS SENB fracture testing and evaluated 14-day topological columns under 2 mm/min compression.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Characterised 3 cement pastes on a rheometer and selected the mix on buildability rather than extrudability (static yield 258 Pa, 20.7 mm maximum layer height against 10.8 mm), then printed 20×23×75 mm Bouligand beams at 65% infill with 9° inter-layer rotation.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Fracture-tested printed and cast beams in single-edge notch bending on an MTS Criterion at 0.05 mm/min: cast led on crack initiation (260 kN/m^1.5) but printed architectures inverted the ranking on energy-equivalent toughness (Bouligand 915 against cast 730), absorbing ~70% more energy per unit mass; traced the large Bouligand scatter to filament width, voids and interlayer bonding rather than to the architecture.</w:t>
      </w:r>
    </w:p>
    <w:p>
      <w:pPr>
        <w:tabs>
          <w:tab w:val="right" w:pos="11040"/>
        </w:tabs>
        <w:spacing w:after="0" w:before="3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Automated Railway Control System — MAE 412</w:t>
      </w:r>
      <w:r>
        <w:rPr>
          <w:rFonts w:ascii="Calibri" w:cs="Calibri" w:eastAsia="Calibri" w:hAnsi="Calibri"/>
          <w:sz w:val="18"/>
          <w:szCs w:val="18"/>
        </w:rPr>
        <w:tab/>
      </w: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Spring 2025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Built a hands-free unload/sort/reload platform using 3 Hall-effect sensors, 2 rail switches, 2 servos, 1 relay and 3D-printed mechanisms to handle 4 stainless-steel balls across 2 sizes; achieved all objectives plus the stretch reloading goal with repeatable class-demonstration operation.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Implemented Arduino↔ACIA serial and assembly sequencing with host control, coordinating sensor-triggered routing, speed transitions, track-power stops, unloading and parity-based payload reloading.</w:t>
      </w:r>
    </w:p>
    <w:p>
      <w:pPr>
        <w:tabs>
          <w:tab w:val="right" w:pos="11040"/>
        </w:tabs>
        <w:spacing w:after="0" w:before="3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Hydrogen-Electric Hybrid Aircraft Concept — MAE 426</w:t>
      </w:r>
      <w:r>
        <w:rPr>
          <w:rFonts w:ascii="Calibri" w:cs="Calibri" w:eastAsia="Calibri" w:hAnsi="Calibri"/>
          <w:sz w:val="18"/>
          <w:szCs w:val="18"/>
        </w:rPr>
        <w:tab/>
      </w: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Spring 2025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Co-developed a parallel hydrogen-electric concept benchmarked against the 210-passenger Boeing 737-8; combined direct-injection H₂ ICE, SOFC and PMSM power paths in a 30/70 split to estimate 53.5% idealized peak system efficiency, exceeding the project's 50% target.</w:t>
      </w:r>
    </w:p>
    <w:p>
      <w:pPr>
        <w:pBdr>
          <w:bottom w:val="single" w:color="000000" w:sz="6" w:space="1"/>
        </w:pBdr>
        <w:spacing w:after="30" w:before="62"/>
      </w:pPr>
      <w:r>
        <w:rPr>
          <w:rFonts w:ascii="Calibri" w:cs="Calibri" w:eastAsia="Calibri" w:hAnsi="Calibri"/>
          <w:b/>
          <w:bCs/>
          <w:spacing w:val="16"/>
          <w:sz w:val="18"/>
          <w:szCs w:val="18"/>
        </w:rPr>
        <w:t xml:space="preserve">HONOURS, FELLOWSHIPS &amp; FUNDING</w:t>
      </w:r>
    </w:p>
    <w:p>
      <w:p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John Marshall II Memorial Senior Thesis Fund — 2026 | Competitive proposal funding for OSCAR MARSKIN.</w:t>
      </w:r>
    </w:p>
    <w:p>
      <w:p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ACEE Summer Internship Program / Peter B. Lewis Fund — Summer 2025 | Competitive funded energy and environment research internship.</w:t>
      </w:r>
    </w:p>
    <w:p>
      <w:p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Summer Social Impact Internship (SSII) Fund — Recipient, 2×</w:t>
      </w:r>
    </w:p>
    <w:p>
      <w:p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Academic Excellence (Rwanda) — First Lady Academic Excellence Award, 2018 &amp; 2022; Rwanda Education Board Award, 2021 (2nd nationwide, A-Level, Gashora Girls Academy of Science &amp; Technology); AIMS Outstanding Achievement Award, 2019 (4th nationally, Mathematics).</w:t>
      </w:r>
    </w:p>
    <w:p>
      <w:p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Languages — English, French, Kinyarwanda, Kirundi, Kiswahili, Spanish, German</w:t>
      </w:r>
    </w:p>
    <w:sectPr>
      <w:pgSz w:w="12240" w:h="15840" w:orient="portrait"/>
      <w:pgMar w:top="430" w:right="600" w:bottom="36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2026-08-20T18:03:29.389Z</dcterms:created>
  <dcterms:modified xsi:type="dcterms:W3CDTF">2026-08-20T18:03:29.390Z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