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sz w:val="31"/>
          <w:szCs w:val="31"/>
        </w:rPr>
        <w:t xml:space="preserve">Kéllia Umuhuza Gatete</w:t>
      </w:r>
    </w:p>
    <w:p>
      <w:pPr>
        <w:spacing w:after="10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Mechanical &amp; Aerospace Engineer | Space Systems • Planetary Robotics • Mechatronics • R&amp;D</w:t>
      </w:r>
    </w:p>
    <w:p>
      <w:pPr>
        <w:spacing w:after="70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kg5133@alumni.princeton.edu  |  (609) 375-7945  |  kelliagatete.github.io</w:t>
      </w:r>
    </w:p>
    <w:p>
      <w:pPr>
        <w:pBdr>
          <w:bottom w:val="single" w:color="000000" w:sz="6" w:space="1"/>
        </w:pBdr>
        <w:spacing w:after="30" w:before="62"/>
      </w:pPr>
      <w:r>
        <w:rPr>
          <w:rFonts w:ascii="Calibri" w:cs="Calibri" w:eastAsia="Calibri" w:hAnsi="Calibri"/>
          <w:b/>
          <w:bCs/>
          <w:spacing w:val="16"/>
          <w:sz w:val="18"/>
          <w:szCs w:val="18"/>
        </w:rPr>
        <w:t xml:space="preserve">EDUCATION</w:t>
      </w:r>
    </w:p>
    <w:p>
      <w:pPr>
        <w:tabs>
          <w:tab w:val="right" w:pos="11040"/>
        </w:tabs>
        <w:spacing w:after="0" w:before="30"/>
      </w:pPr>
      <w:r>
        <w:rPr>
          <w:rFonts w:ascii="Calibri" w:cs="Calibri" w:eastAsia="Calibri" w:hAnsi="Calibri"/>
          <w:b/>
          <w:bCs/>
          <w:i w:val="false"/>
          <w:iCs w:val="false"/>
          <w:sz w:val="18"/>
          <w:szCs w:val="18"/>
        </w:rPr>
        <w:t xml:space="preserve">Princeton University, Princeton, NJ</w:t>
      </w:r>
      <w:r>
        <w:rPr>
          <w:rFonts w:ascii="Calibri" w:cs="Calibri" w:eastAsia="Calibri" w:hAnsi="Calibri"/>
          <w:sz w:val="18"/>
          <w:szCs w:val="18"/>
        </w:rPr>
        <w:tab/>
      </w:r>
      <w:r>
        <w:rPr>
          <w:rFonts w:ascii="Calibri" w:cs="Calibri" w:eastAsia="Calibri" w:hAnsi="Calibri"/>
          <w:b/>
          <w:bCs/>
          <w:i w:val="false"/>
          <w:iCs w:val="false"/>
          <w:sz w:val="18"/>
          <w:szCs w:val="18"/>
        </w:rPr>
        <w:t xml:space="preserve">May 2026</w:t>
      </w:r>
    </w:p>
    <w:p>
      <w:pPr>
        <w:spacing w:after="10"/>
      </w:pPr>
      <w:r>
        <w:rPr>
          <w:rFonts w:ascii="Calibri" w:cs="Calibri" w:eastAsia="Calibri" w:hAnsi="Calibri"/>
          <w:sz w:val="17"/>
          <w:szCs w:val="17"/>
        </w:rPr>
        <w:t xml:space="preserve">B.S.E., Mechanical &amp; Aerospace Engineering | Minor in Robotics — ABET-accredited programs in Mechanical and Aerospace Engineering.</w:t>
      </w:r>
    </w:p>
    <w:p>
      <w:pPr>
        <w:spacing w:after="30"/>
      </w:pPr>
      <w:r>
        <w:rPr>
          <w:rFonts w:ascii="Calibri" w:cs="Calibri" w:eastAsia="Calibri" w:hAnsi="Calibri"/>
          <w:i/>
          <w:iCs/>
          <w:sz w:val="17"/>
          <w:szCs w:val="17"/>
        </w:rPr>
        <w:t xml:space="preserve">Relevant Coursework: </w:t>
      </w:r>
      <w:r>
        <w:rPr>
          <w:rFonts w:ascii="Calibri" w:cs="Calibri" w:eastAsia="Calibri" w:hAnsi="Calibri"/>
          <w:sz w:val="17"/>
          <w:szCs w:val="17"/>
        </w:rPr>
        <w:t xml:space="preserve">Space System Design; Space Flight; Autonomous Fabrication &amp; Robotics; Microprocessors for Measurement &amp; Control; Rocket &amp; Air-Breathing Propulsion; Materials Science</w:t>
      </w:r>
    </w:p>
    <w:p>
      <w:pPr>
        <w:pBdr>
          <w:bottom w:val="single" w:color="000000" w:sz="6" w:space="1"/>
        </w:pBdr>
        <w:spacing w:after="30" w:before="62"/>
      </w:pPr>
      <w:r>
        <w:rPr>
          <w:rFonts w:ascii="Calibri" w:cs="Calibri" w:eastAsia="Calibri" w:hAnsi="Calibri"/>
          <w:b/>
          <w:bCs/>
          <w:spacing w:val="16"/>
          <w:sz w:val="18"/>
          <w:szCs w:val="18"/>
        </w:rPr>
        <w:t xml:space="preserve">TECHNICAL SKILLS</w:t>
      </w:r>
    </w:p>
    <w:p>
      <w:pPr>
        <w:spacing w:after="1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Space &amp; Systems: </w:t>
      </w:r>
      <w:r>
        <w:rPr>
          <w:rFonts w:ascii="Calibri" w:cs="Calibri" w:eastAsia="Calibri" w:hAnsi="Calibri"/>
          <w:sz w:val="17"/>
          <w:szCs w:val="17"/>
        </w:rPr>
        <w:t xml:space="preserve">Ansys STK/Astrogator, spacecraft C&amp;DH architecture, processing/storage/data budgets, orbital and trajectory analysis, link-budget analysis, requirements and traceability, ConOps, trade studies, risk matrices, verification &amp; validation</w:t>
      </w:r>
    </w:p>
    <w:p>
      <w:pPr>
        <w:spacing w:after="1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Robotics &amp; Embedded: </w:t>
      </w:r>
      <w:r>
        <w:rPr>
          <w:rFonts w:ascii="Calibri" w:cs="Calibri" w:eastAsia="Calibri" w:hAnsi="Calibri"/>
          <w:sz w:val="17"/>
          <w:szCs w:val="17"/>
        </w:rPr>
        <w:t xml:space="preserve">Arduino/ATmega328P, Teensy, Raspberry Pi, micro:bit, Hall-effect and temperature sensors, relays, servos, serial communication, assembly programming, PID/feedback control, data acquisition</w:t>
      </w:r>
    </w:p>
    <w:p>
      <w:pPr>
        <w:spacing w:after="1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Design, Test &amp; Fabrication: </w:t>
      </w:r>
      <w:r>
        <w:rPr>
          <w:rFonts w:ascii="Calibri" w:cs="Calibri" w:eastAsia="Calibri" w:hAnsi="Calibri"/>
          <w:sz w:val="17"/>
          <w:szCs w:val="17"/>
        </w:rPr>
        <w:t xml:space="preserve">Fusion 360, Rhino 8, Simplify3D/G-code, CAD/CAM, FEA, 3D printing, manual machining, ABB RobotStudio/RAPID/FlexPendant, MTS testing, thermal/dust/abrasion testing</w:t>
      </w:r>
    </w:p>
    <w:p>
      <w:pPr>
        <w:spacing w:after="1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Programming &amp; Data: </w:t>
      </w:r>
      <w:r>
        <w:rPr>
          <w:rFonts w:ascii="Calibri" w:cs="Calibri" w:eastAsia="Calibri" w:hAnsi="Calibri"/>
          <w:sz w:val="17"/>
          <w:szCs w:val="17"/>
        </w:rPr>
        <w:t xml:space="preserve">Python, MATLAB/Simulink, C++, JavaScript, LabVIEW, SPSS, Overleaf</w:t>
      </w:r>
    </w:p>
    <w:p>
      <w:pPr>
        <w:pBdr>
          <w:bottom w:val="single" w:color="000000" w:sz="6" w:space="1"/>
        </w:pBdr>
        <w:spacing w:after="30" w:before="62"/>
      </w:pPr>
      <w:r>
        <w:rPr>
          <w:rFonts w:ascii="Calibri" w:cs="Calibri" w:eastAsia="Calibri" w:hAnsi="Calibri"/>
          <w:b/>
          <w:bCs/>
          <w:spacing w:val="16"/>
          <w:sz w:val="18"/>
          <w:szCs w:val="18"/>
        </w:rPr>
        <w:t xml:space="preserve">ENGINEERING &amp; RESEARCH EXPERIENCE</w:t>
      </w:r>
    </w:p>
    <w:p>
      <w:pPr>
        <w:tabs>
          <w:tab w:val="right" w:pos="11040"/>
        </w:tabs>
        <w:spacing w:after="0" w:before="30"/>
      </w:pPr>
      <w:r>
        <w:rPr>
          <w:rFonts w:ascii="Calibri" w:cs="Calibri" w:eastAsia="Calibri" w:hAnsi="Calibri"/>
          <w:b/>
          <w:bCs/>
          <w:i w:val="false"/>
          <w:iCs w:val="false"/>
          <w:sz w:val="18"/>
          <w:szCs w:val="18"/>
        </w:rPr>
        <w:t xml:space="preserve">Senior Thesis Researcher — OSCAR MARSKIN, Princeton MAE</w:t>
      </w:r>
      <w:r>
        <w:rPr>
          <w:rFonts w:ascii="Calibri" w:cs="Calibri" w:eastAsia="Calibri" w:hAnsi="Calibri"/>
          <w:sz w:val="18"/>
          <w:szCs w:val="18"/>
        </w:rPr>
        <w:tab/>
      </w:r>
      <w:r>
        <w:rPr>
          <w:rFonts w:ascii="Calibri" w:cs="Calibri" w:eastAsia="Calibri" w:hAnsi="Calibri"/>
          <w:b/>
          <w:bCs/>
          <w:i w:val="false"/>
          <w:iCs w:val="false"/>
          <w:sz w:val="18"/>
          <w:szCs w:val="18"/>
        </w:rPr>
        <w:t xml:space="preserve">Sep 2025 – Apr 2026</w:t>
      </w:r>
    </w:p>
    <w:p>
      <w:pPr>
        <w:spacing w:after="20"/>
      </w:pPr>
      <w:r>
        <w:rPr>
          <w:rFonts w:ascii="Calibri" w:cs="Calibri" w:eastAsia="Calibri" w:hAnsi="Calibri"/>
          <w:i/>
          <w:iCs/>
          <w:sz w:val="16"/>
          <w:szCs w:val="16"/>
        </w:rPr>
        <w:t xml:space="preserve">Planetary soft-robotics protection and sensing system; co-authored 130-page thesis</w:t>
      </w:r>
    </w:p>
    <w:p>
      <w:pPr>
        <w:pStyle w:val="ListParagraph"/>
        <w:numPr>
          <w:ilvl w:val="0"/>
          <w:numId w:val="1"/>
        </w:numPr>
        <w:spacing w:after="10"/>
      </w:pPr>
      <w:r>
        <w:rPr>
          <w:rFonts w:ascii="Calibri" w:cs="Calibri" w:eastAsia="Calibri" w:hAnsi="Calibri"/>
          <w:b w:val="false"/>
          <w:bCs w:val="false"/>
          <w:sz w:val="17"/>
          <w:szCs w:val="17"/>
        </w:rPr>
        <w:t xml:space="preserve">Co-designed and fabricated MARSKIN, a six-material flexible environmental skin for an origami crawler, combining TPU, EcoFlex, aerogel, PETG-PTFE, aluminium and a superhydrophobic coating; balanced insulation, structural support, adhesion, dust and abrasion protection, and compliant motion while moving from a circular test article to an OSCAR-specific panelized geometry compatible with folding.</w:t>
      </w:r>
    </w:p>
    <w:p>
      <w:pPr>
        <w:pStyle w:val="ListParagraph"/>
        <w:numPr>
          <w:ilvl w:val="0"/>
          <w:numId w:val="1"/>
        </w:numPr>
        <w:spacing w:after="10"/>
      </w:pPr>
      <w:r>
        <w:rPr>
          <w:rFonts w:ascii="Calibri" w:cs="Calibri" w:eastAsia="Calibri" w:hAnsi="Calibri"/>
          <w:b w:val="false"/>
          <w:bCs w:val="false"/>
          <w:sz w:val="17"/>
          <w:szCs w:val="17"/>
        </w:rPr>
        <w:t xml:space="preserve">Validated MARSKIN against 2 controls using conductive/radiant heating, 30-min cold exposure, 3 hot–cold cycles, dust and abrasion: across 3 heat-lamp distances, maintained ~24–27 °C peak through-thickness ΔT versus 4.6 °C for controls; at 75 °C conductive heating, improved peak/mean ΔT by ~85% with no visible delamination.</w:t>
      </w:r>
    </w:p>
    <w:p>
      <w:pPr>
        <w:pStyle w:val="ListParagraph"/>
        <w:numPr>
          <w:ilvl w:val="0"/>
          <w:numId w:val="1"/>
        </w:numPr>
        <w:spacing w:after="10"/>
      </w:pPr>
      <w:r>
        <w:rPr>
          <w:rFonts w:ascii="Calibri" w:cs="Calibri" w:eastAsia="Calibri" w:hAnsi="Calibri"/>
          <w:b w:val="false"/>
          <w:bCs w:val="false"/>
          <w:sz w:val="17"/>
          <w:szCs w:val="17"/>
        </w:rPr>
        <w:t xml:space="preserve">Built the onboard sensing and data pipeline on a Raspberry Pi Zero 2 W, synchronising contact TMP117 and non-contact MLX90614 measurements at 1 Hz with 1080p day/night imaging every 10 s.</w:t>
      </w:r>
    </w:p>
    <w:p>
      <w:pPr>
        <w:tabs>
          <w:tab w:val="right" w:pos="11040"/>
        </w:tabs>
        <w:spacing w:after="0" w:before="30"/>
      </w:pPr>
      <w:r>
        <w:rPr>
          <w:rFonts w:ascii="Calibri" w:cs="Calibri" w:eastAsia="Calibri" w:hAnsi="Calibri"/>
          <w:b/>
          <w:bCs/>
          <w:i w:val="false"/>
          <w:iCs w:val="false"/>
          <w:sz w:val="18"/>
          <w:szCs w:val="18"/>
        </w:rPr>
        <w:t xml:space="preserve">ACEE Summer Research Intern — Ju Lab, Princeton</w:t>
      </w:r>
      <w:r>
        <w:rPr>
          <w:rFonts w:ascii="Calibri" w:cs="Calibri" w:eastAsia="Calibri" w:hAnsi="Calibri"/>
          <w:sz w:val="18"/>
          <w:szCs w:val="18"/>
        </w:rPr>
        <w:tab/>
      </w:r>
      <w:r>
        <w:rPr>
          <w:rFonts w:ascii="Calibri" w:cs="Calibri" w:eastAsia="Calibri" w:hAnsi="Calibri"/>
          <w:b/>
          <w:bCs/>
          <w:i w:val="false"/>
          <w:iCs w:val="false"/>
          <w:sz w:val="18"/>
          <w:szCs w:val="18"/>
        </w:rPr>
        <w:t xml:space="preserve">Summer 2025</w:t>
      </w:r>
    </w:p>
    <w:p>
      <w:pPr>
        <w:spacing w:after="20"/>
      </w:pPr>
      <w:r>
        <w:rPr>
          <w:rFonts w:ascii="Calibri" w:cs="Calibri" w:eastAsia="Calibri" w:hAnsi="Calibri"/>
          <w:i/>
          <w:iCs/>
          <w:sz w:val="16"/>
          <w:szCs w:val="16"/>
        </w:rPr>
        <w:t xml:space="preserve">Combustion &amp; Low Carbon Energy Conversion Laboratory | Prof. Yiguang Ju</w:t>
      </w:r>
    </w:p>
    <w:p>
      <w:pPr>
        <w:pStyle w:val="ListParagraph"/>
        <w:numPr>
          <w:ilvl w:val="0"/>
          <w:numId w:val="1"/>
        </w:numPr>
        <w:spacing w:after="10"/>
      </w:pPr>
      <w:r>
        <w:rPr>
          <w:rFonts w:ascii="Calibri" w:cs="Calibri" w:eastAsia="Calibri" w:hAnsi="Calibri"/>
          <w:b w:val="false"/>
          <w:bCs w:val="false"/>
          <w:sz w:val="17"/>
          <w:szCs w:val="17"/>
        </w:rPr>
        <w:t xml:space="preserve">Investigated design-stage dielectric-barrier-discharge plasma conversion of CO₂ to graphene at ~400 °C and evaluated 2 optical diagnostics — laser absorption spectroscopy and laser-induced fluorescence — for real-time CO/CO₂ monitoring and reactor optimisation.</w:t>
      </w:r>
    </w:p>
    <w:p>
      <w:pPr>
        <w:tabs>
          <w:tab w:val="right" w:pos="11040"/>
        </w:tabs>
        <w:spacing w:after="0" w:before="30"/>
      </w:pPr>
      <w:r>
        <w:rPr>
          <w:rFonts w:ascii="Calibri" w:cs="Calibri" w:eastAsia="Calibri" w:hAnsi="Calibri"/>
          <w:b/>
          <w:bCs/>
          <w:i w:val="false"/>
          <w:iCs w:val="false"/>
          <w:sz w:val="18"/>
          <w:szCs w:val="18"/>
        </w:rPr>
        <w:t xml:space="preserve">Research &amp; Gender Intern — Aegis Trust, Kigali, Rwanda</w:t>
      </w:r>
      <w:r>
        <w:rPr>
          <w:rFonts w:ascii="Calibri" w:cs="Calibri" w:eastAsia="Calibri" w:hAnsi="Calibri"/>
          <w:sz w:val="18"/>
          <w:szCs w:val="18"/>
        </w:rPr>
        <w:tab/>
      </w:r>
      <w:r>
        <w:rPr>
          <w:rFonts w:ascii="Calibri" w:cs="Calibri" w:eastAsia="Calibri" w:hAnsi="Calibri"/>
          <w:b/>
          <w:bCs/>
          <w:i w:val="false"/>
          <w:iCs w:val="false"/>
          <w:sz w:val="18"/>
          <w:szCs w:val="18"/>
        </w:rPr>
        <w:t xml:space="preserve">Summers 2023 &amp; 2024</w:t>
      </w:r>
    </w:p>
    <w:p>
      <w:pPr>
        <w:spacing w:after="20"/>
      </w:pPr>
      <w:r>
        <w:rPr>
          <w:rFonts w:ascii="Calibri" w:cs="Calibri" w:eastAsia="Calibri" w:hAnsi="Calibri"/>
          <w:i/>
          <w:iCs/>
          <w:sz w:val="16"/>
          <w:szCs w:val="16"/>
        </w:rPr>
        <w:t xml:space="preserve">Two-year gender-norms programme with the University of Rwanda Centre for Gender Studies | Funded 2× by the Summer Social Impact Internship Fund</w:t>
      </w:r>
    </w:p>
    <w:p>
      <w:pPr>
        <w:pStyle w:val="ListParagraph"/>
        <w:numPr>
          <w:ilvl w:val="0"/>
          <w:numId w:val="1"/>
        </w:numPr>
        <w:spacing w:after="10"/>
      </w:pPr>
      <w:r>
        <w:rPr>
          <w:rFonts w:ascii="Calibri" w:cs="Calibri" w:eastAsia="Calibri" w:hAnsi="Calibri"/>
          <w:b w:val="false"/>
          <w:bCs w:val="false"/>
          <w:sz w:val="17"/>
          <w:szCs w:val="17"/>
        </w:rPr>
        <w:t xml:space="preserve">Analysed a 612-participant baseline study in SPSS across 5 districts and triangulated the quantitative results against document review, semi-structured interviews and a reflection workshop; the programme reached 3,753 stakeholders against a 2,600 target.</w:t>
      </w:r>
    </w:p>
    <w:p>
      <w:pPr>
        <w:pStyle w:val="ListParagraph"/>
        <w:numPr>
          <w:ilvl w:val="0"/>
          <w:numId w:val="1"/>
        </w:numPr>
        <w:spacing w:after="10"/>
      </w:pPr>
      <w:r>
        <w:rPr>
          <w:rFonts w:ascii="Calibri" w:cs="Calibri" w:eastAsia="Calibri" w:hAnsi="Calibri"/>
          <w:b w:val="false"/>
          <w:bCs w:val="false"/>
          <w:sz w:val="17"/>
          <w:szCs w:val="17"/>
        </w:rPr>
        <w:t xml:space="preserve">Built assessment criteria for programme outcomes and co-developed an awards scheme with the Centre for Gender Studies, selecting 50 recipients through district committees — the deliverables that outlasted the funding cycle.</w:t>
      </w:r>
    </w:p>
    <w:p>
      <w:pPr>
        <w:pBdr>
          <w:bottom w:val="single" w:color="000000" w:sz="6" w:space="1"/>
        </w:pBdr>
        <w:spacing w:after="30" w:before="62"/>
      </w:pPr>
      <w:r>
        <w:rPr>
          <w:rFonts w:ascii="Calibri" w:cs="Calibri" w:eastAsia="Calibri" w:hAnsi="Calibri"/>
          <w:b/>
          <w:bCs/>
          <w:spacing w:val="16"/>
          <w:sz w:val="18"/>
          <w:szCs w:val="18"/>
        </w:rPr>
        <w:t xml:space="preserve">SELECTED SPACE &amp; ROBOTICS PROJECTS</w:t>
      </w:r>
    </w:p>
    <w:p>
      <w:pPr>
        <w:tabs>
          <w:tab w:val="right" w:pos="11040"/>
        </w:tabs>
        <w:spacing w:after="0" w:before="30"/>
      </w:pPr>
      <w:r>
        <w:rPr>
          <w:rFonts w:ascii="Calibri" w:cs="Calibri" w:eastAsia="Calibri" w:hAnsi="Calibri"/>
          <w:b/>
          <w:bCs/>
          <w:i w:val="false"/>
          <w:iCs w:val="false"/>
          <w:sz w:val="18"/>
          <w:szCs w:val="18"/>
        </w:rPr>
        <w:t xml:space="preserve">LUREX Lunar Mission — Operations/Payload &amp; CCD</w:t>
      </w:r>
      <w:r>
        <w:rPr>
          <w:rFonts w:ascii="Calibri" w:cs="Calibri" w:eastAsia="Calibri" w:hAnsi="Calibri"/>
          <w:sz w:val="18"/>
          <w:szCs w:val="18"/>
        </w:rPr>
        <w:tab/>
      </w:r>
      <w:r>
        <w:rPr>
          <w:rFonts w:ascii="Calibri" w:cs="Calibri" w:eastAsia="Calibri" w:hAnsi="Calibri"/>
          <w:b/>
          <w:bCs/>
          <w:i w:val="false"/>
          <w:iCs w:val="false"/>
          <w:sz w:val="18"/>
          <w:szCs w:val="18"/>
        </w:rPr>
        <w:t xml:space="preserve">Spring 2026</w:t>
      </w:r>
    </w:p>
    <w:p>
      <w:pPr>
        <w:spacing w:after="20"/>
      </w:pPr>
      <w:r>
        <w:rPr>
          <w:rFonts w:ascii="Calibri" w:cs="Calibri" w:eastAsia="Calibri" w:hAnsi="Calibri"/>
          <w:i/>
          <w:iCs/>
          <w:sz w:val="16"/>
          <w:szCs w:val="16"/>
        </w:rPr>
        <w:t xml:space="preserve">Lunar Radiation Environment Explorer | MAE 342 Space System Design</w:t>
      </w:r>
    </w:p>
    <w:p>
      <w:pPr>
        <w:pStyle w:val="ListParagraph"/>
        <w:numPr>
          <w:ilvl w:val="0"/>
          <w:numId w:val="1"/>
        </w:numPr>
        <w:spacing w:after="1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Rebuilt the onboard-computer budget after PDR review</w:t>
      </w:r>
      <w:r>
        <w:rPr>
          <w:rFonts w:ascii="Calibri" w:cs="Calibri" w:eastAsia="Calibri" w:hAnsi="Calibri"/>
          <w:b w:val="false"/>
          <w:bCs w:val="false"/>
          <w:sz w:val="17"/>
          <w:szCs w:val="17"/>
        </w:rPr>
        <w:t xml:space="preserve">, replacing a percentage-based allocation with a throughput-driven method: sized supervisory workload in KIPS by software function across 5 operating modes, converted to required clock speed, and closed the governing case (relay operations) at 14.29 MHz against 1,000 MHz available — every figure traceable to a measured data rate.</w:t>
      </w:r>
    </w:p>
    <w:p>
      <w:pPr>
        <w:pStyle w:val="ListParagraph"/>
        <w:numPr>
          <w:ilvl w:val="0"/>
          <w:numId w:val="1"/>
        </w:numPr>
        <w:spacing w:after="10"/>
      </w:pPr>
      <w:r>
        <w:rPr>
          <w:rFonts w:ascii="Calibri" w:cs="Calibri" w:eastAsia="Calibri" w:hAnsi="Calibri"/>
          <w:b w:val="false"/>
          <w:bCs w:val="false"/>
          <w:sz w:val="17"/>
          <w:szCs w:val="17"/>
        </w:rPr>
        <w:t xml:space="preserve">Sized memory, storage and interfaces against the same rates: 63.5 MiB RAM of 512 available; recorder requirements of 1,040.7 MB and 332.6 MB from a 71.3-min worst-case blackout, verified against a 32 GB recorder at &gt;30× margin; confirmed SpaceWire and CAN throughput under peak concurrent recorder, payload and framing traffic.</w:t>
      </w:r>
    </w:p>
    <w:p>
      <w:pPr>
        <w:pStyle w:val="ListParagraph"/>
        <w:numPr>
          <w:ilvl w:val="0"/>
          <w:numId w:val="1"/>
        </w:numPr>
        <w:spacing w:after="10"/>
      </w:pPr>
      <w:r>
        <w:rPr>
          <w:rFonts w:ascii="Calibri" w:cs="Calibri" w:eastAsia="Calibri" w:hAnsi="Calibri"/>
          <w:b w:val="false"/>
          <w:bCs w:val="false"/>
          <w:sz w:val="17"/>
          <w:szCs w:val="17"/>
        </w:rPr>
        <w:t xml:space="preserve">Owned the mission risk matrix and cost compliance analysis across 8 subsystems, reconciling estimates against a $175M SMEX cap plus $5M launch services; moved near-real-time downlink and onboard data storage out of the high-risk region through architecture and recorder changes.</w:t>
      </w:r>
    </w:p>
    <w:p>
      <w:pPr>
        <w:tabs>
          <w:tab w:val="right" w:pos="11040"/>
        </w:tabs>
        <w:spacing w:after="0" w:before="30"/>
      </w:pPr>
      <w:r>
        <w:rPr>
          <w:rFonts w:ascii="Calibri" w:cs="Calibri" w:eastAsia="Calibri" w:hAnsi="Calibri"/>
          <w:b/>
          <w:bCs/>
          <w:i w:val="false"/>
          <w:iCs w:val="false"/>
          <w:sz w:val="18"/>
          <w:szCs w:val="18"/>
        </w:rPr>
        <w:t xml:space="preserve">Spaceflight &amp; Mission Analysis — Ansys STK/Astrogator, MAE 341</w:t>
      </w:r>
      <w:r>
        <w:rPr>
          <w:rFonts w:ascii="Calibri" w:cs="Calibri" w:eastAsia="Calibri" w:hAnsi="Calibri"/>
          <w:sz w:val="18"/>
          <w:szCs w:val="18"/>
        </w:rPr>
        <w:tab/>
      </w:r>
      <w:r>
        <w:rPr>
          <w:rFonts w:ascii="Calibri" w:cs="Calibri" w:eastAsia="Calibri" w:hAnsi="Calibri"/>
          <w:b/>
          <w:bCs/>
          <w:i w:val="false"/>
          <w:iCs w:val="false"/>
          <w:sz w:val="18"/>
          <w:szCs w:val="18"/>
        </w:rPr>
        <w:t xml:space="preserve">Fall 2025</w:t>
      </w:r>
    </w:p>
    <w:p>
      <w:pPr>
        <w:pStyle w:val="ListParagraph"/>
        <w:numPr>
          <w:ilvl w:val="0"/>
          <w:numId w:val="1"/>
        </w:numPr>
        <w:spacing w:after="10"/>
      </w:pPr>
      <w:r>
        <w:rPr>
          <w:rFonts w:ascii="Calibri" w:cs="Calibri" w:eastAsia="Calibri" w:hAnsi="Calibri"/>
          <w:b w:val="false"/>
          <w:bCs w:val="false"/>
          <w:sz w:val="17"/>
          <w:szCs w:val="17"/>
        </w:rPr>
        <w:t xml:space="preserve">Built an Artemis-class cislunar trajectory in Astrogator and a single-station downlink study: identified 18 Kennedy Space Center contact windows totalling 166.65 h (42.8% of scenario), ~440,000 km worst-case slant range and ~19.75 dB worst-case Eb/N₀, showing the modelled link was access-limited rather than power-limited.</w:t>
      </w:r>
    </w:p>
    <w:p>
      <w:pPr>
        <w:pStyle w:val="ListParagraph"/>
        <w:numPr>
          <w:ilvl w:val="0"/>
          <w:numId w:val="1"/>
        </w:numPr>
        <w:spacing w:after="10"/>
      </w:pPr>
      <w:r>
        <w:rPr>
          <w:rFonts w:ascii="Calibri" w:cs="Calibri" w:eastAsia="Calibri" w:hAnsi="Calibri"/>
          <w:b w:val="false"/>
          <w:bCs w:val="false"/>
          <w:sz w:val="17"/>
          <w:szCs w:val="17"/>
        </w:rPr>
        <w:t xml:space="preserve">Validated the orbital analysis against 3 nights of ISS observations, estimating a 93.334 ± 0.088 min period within ~0.5% of the 92.903 min mean-motion reference, and identified which of 3 reduction methods fails and why (repeat-pass timing ran 5.6% high on viewing geometry and horizon threshold).</w:t>
      </w:r>
    </w:p>
    <w:p>
      <w:pPr>
        <w:tabs>
          <w:tab w:val="right" w:pos="11040"/>
        </w:tabs>
        <w:spacing w:after="0" w:before="30"/>
      </w:pPr>
      <w:r>
        <w:rPr>
          <w:rFonts w:ascii="Calibri" w:cs="Calibri" w:eastAsia="Calibri" w:hAnsi="Calibri"/>
          <w:b/>
          <w:bCs/>
          <w:i w:val="false"/>
          <w:iCs w:val="false"/>
          <w:sz w:val="18"/>
          <w:szCs w:val="18"/>
        </w:rPr>
        <w:t xml:space="preserve">Automated Railway Control System — MAE 412</w:t>
      </w:r>
      <w:r>
        <w:rPr>
          <w:rFonts w:ascii="Calibri" w:cs="Calibri" w:eastAsia="Calibri" w:hAnsi="Calibri"/>
          <w:sz w:val="18"/>
          <w:szCs w:val="18"/>
        </w:rPr>
        <w:tab/>
      </w:r>
      <w:r>
        <w:rPr>
          <w:rFonts w:ascii="Calibri" w:cs="Calibri" w:eastAsia="Calibri" w:hAnsi="Calibri"/>
          <w:b/>
          <w:bCs/>
          <w:i w:val="false"/>
          <w:iCs w:val="false"/>
          <w:sz w:val="18"/>
          <w:szCs w:val="18"/>
        </w:rPr>
        <w:t xml:space="preserve">Spring 2025</w:t>
      </w:r>
    </w:p>
    <w:p>
      <w:pPr>
        <w:pStyle w:val="ListParagraph"/>
        <w:numPr>
          <w:ilvl w:val="0"/>
          <w:numId w:val="1"/>
        </w:numPr>
        <w:spacing w:after="10"/>
      </w:pPr>
      <w:r>
        <w:rPr>
          <w:rFonts w:ascii="Calibri" w:cs="Calibri" w:eastAsia="Calibri" w:hAnsi="Calibri"/>
          <w:b w:val="false"/>
          <w:bCs w:val="false"/>
          <w:sz w:val="17"/>
          <w:szCs w:val="17"/>
        </w:rPr>
        <w:t xml:space="preserve">Built a hands-free unload/sort/reload platform using 3 Hall-effect sensors, 2 rail switches, 2 servos, 1 relay and 3D-printed mechanisms to handle 4 stainless-steel balls across 2 sizes, sequenced in assembly over an Arduino↔ACIA serial link; achieved all objectives plus the stretch reloading goal with repeatable class-demonstration operation.</w:t>
      </w:r>
    </w:p>
    <w:p>
      <w:pPr>
        <w:pBdr>
          <w:bottom w:val="single" w:color="000000" w:sz="6" w:space="1"/>
        </w:pBdr>
        <w:spacing w:after="30" w:before="62"/>
      </w:pPr>
      <w:r>
        <w:rPr>
          <w:rFonts w:ascii="Calibri" w:cs="Calibri" w:eastAsia="Calibri" w:hAnsi="Calibri"/>
          <w:b/>
          <w:bCs/>
          <w:spacing w:val="16"/>
          <w:sz w:val="18"/>
          <w:szCs w:val="18"/>
        </w:rPr>
        <w:t xml:space="preserve">HONOURS, FELLOWSHIPS &amp; FUNDING</w:t>
      </w:r>
    </w:p>
    <w:p>
      <w:pPr>
        <w:spacing w:after="10"/>
      </w:pPr>
      <w:r>
        <w:rPr>
          <w:rFonts w:ascii="Calibri" w:cs="Calibri" w:eastAsia="Calibri" w:hAnsi="Calibri"/>
          <w:sz w:val="17"/>
          <w:szCs w:val="17"/>
        </w:rPr>
        <w:t xml:space="preserve">John Marshall II Memorial Senior Thesis Fund — 2026 | Competitive proposal funding for OSCAR MARSKIN.</w:t>
      </w:r>
    </w:p>
    <w:p>
      <w:pPr>
        <w:spacing w:after="10"/>
      </w:pPr>
      <w:r>
        <w:rPr>
          <w:rFonts w:ascii="Calibri" w:cs="Calibri" w:eastAsia="Calibri" w:hAnsi="Calibri"/>
          <w:sz w:val="17"/>
          <w:szCs w:val="17"/>
        </w:rPr>
        <w:t xml:space="preserve">ACEE Summer Internship Program / Peter B. Lewis Fund — Summer 2025 | Competitive funded energy and environment research internship.</w:t>
      </w:r>
    </w:p>
    <w:p>
      <w:pPr>
        <w:spacing w:after="10"/>
      </w:pPr>
      <w:r>
        <w:rPr>
          <w:rFonts w:ascii="Calibri" w:cs="Calibri" w:eastAsia="Calibri" w:hAnsi="Calibri"/>
          <w:sz w:val="17"/>
          <w:szCs w:val="17"/>
        </w:rPr>
        <w:t xml:space="preserve">Summer Social Impact Internship (SSII) Fund — Recipient, 2×</w:t>
      </w:r>
    </w:p>
    <w:p>
      <w:pPr>
        <w:spacing w:after="10"/>
      </w:pPr>
      <w:r>
        <w:rPr>
          <w:rFonts w:ascii="Calibri" w:cs="Calibri" w:eastAsia="Calibri" w:hAnsi="Calibri"/>
          <w:sz w:val="17"/>
          <w:szCs w:val="17"/>
        </w:rPr>
        <w:t xml:space="preserve">Academic Excellence (Rwanda) — First Lady Academic Excellence Award, 2018 &amp; 2022; Rwanda Education Board Award, 2021 (2nd nationwide, A-Level, Gashora Girls Academy of Science &amp; Technology); AIMS Outstanding Achievement Award, 2019 (4th nationally, Mathematics).</w:t>
      </w:r>
    </w:p>
    <w:p>
      <w:pPr>
        <w:spacing w:after="10"/>
      </w:pPr>
      <w:r>
        <w:rPr>
          <w:rFonts w:ascii="Calibri" w:cs="Calibri" w:eastAsia="Calibri" w:hAnsi="Calibri"/>
          <w:sz w:val="17"/>
          <w:szCs w:val="17"/>
        </w:rPr>
        <w:t xml:space="preserve">Languages — English, French, Kinyarwanda, Kirundi, Kiswahili, Spanish, German</w:t>
      </w:r>
    </w:p>
    <w:sectPr>
      <w:pgSz w:w="12240" w:h="15840" w:orient="portrait"/>
      <w:pgMar w:top="430" w:right="600" w:bottom="36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2026-08-20T18:03:29.396Z</dcterms:created>
  <dcterms:modified xsi:type="dcterms:W3CDTF">2026-08-20T18:03:29.396Z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