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B2CE7" w14:textId="77777777" w:rsidR="004F2EF7" w:rsidRDefault="00922295">
      <w:pPr>
        <w:spacing w:after="0"/>
        <w:ind w:left="10" w:hanging="10"/>
        <w:jc w:val="center"/>
      </w:pPr>
      <w:r>
        <w:rPr>
          <w:rFonts w:ascii="Cambria" w:eastAsia="Cambria" w:hAnsi="Cambria" w:cs="Cambria"/>
          <w:sz w:val="32"/>
        </w:rPr>
        <w:t xml:space="preserve">TD 1 : Droit des TIC </w:t>
      </w:r>
    </w:p>
    <w:p w14:paraId="703680DE" w14:textId="77777777" w:rsidR="004F2EF7" w:rsidRDefault="00922295">
      <w:pPr>
        <w:spacing w:after="40"/>
        <w:ind w:left="-30" w:right="-26"/>
      </w:pPr>
      <w:r>
        <w:rPr>
          <w:noProof/>
        </w:rPr>
        <mc:AlternateContent>
          <mc:Choice Requires="wpg">
            <w:drawing>
              <wp:inline distT="0" distB="0" distL="0" distR="0" wp14:anchorId="2542B2D9" wp14:editId="0AD3EC0D">
                <wp:extent cx="5800091" cy="57150"/>
                <wp:effectExtent l="0" t="0" r="0" b="0"/>
                <wp:docPr id="1771" name="Group 1771"/>
                <wp:cNvGraphicFramePr/>
                <a:graphic xmlns:a="http://schemas.openxmlformats.org/drawingml/2006/main">
                  <a:graphicData uri="http://schemas.microsoft.com/office/word/2010/wordprocessingGroup">
                    <wpg:wgp>
                      <wpg:cNvGrpSpPr/>
                      <wpg:grpSpPr>
                        <a:xfrm>
                          <a:off x="0" y="0"/>
                          <a:ext cx="5800091" cy="57150"/>
                          <a:chOff x="0" y="0"/>
                          <a:chExt cx="5800091" cy="57150"/>
                        </a:xfrm>
                      </wpg:grpSpPr>
                      <wps:wsp>
                        <wps:cNvPr id="2231" name="Shape 2231"/>
                        <wps:cNvSpPr/>
                        <wps:spPr>
                          <a:xfrm>
                            <a:off x="0" y="19050"/>
                            <a:ext cx="5800091" cy="38100"/>
                          </a:xfrm>
                          <a:custGeom>
                            <a:avLst/>
                            <a:gdLst/>
                            <a:ahLst/>
                            <a:cxnLst/>
                            <a:rect l="0" t="0" r="0" b="0"/>
                            <a:pathLst>
                              <a:path w="5800091" h="38100">
                                <a:moveTo>
                                  <a:pt x="0" y="0"/>
                                </a:moveTo>
                                <a:lnTo>
                                  <a:pt x="5800091" y="0"/>
                                </a:lnTo>
                                <a:lnTo>
                                  <a:pt x="580009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32" name="Shape 2232"/>
                        <wps:cNvSpPr/>
                        <wps:spPr>
                          <a:xfrm>
                            <a:off x="0" y="0"/>
                            <a:ext cx="5800091" cy="9525"/>
                          </a:xfrm>
                          <a:custGeom>
                            <a:avLst/>
                            <a:gdLst/>
                            <a:ahLst/>
                            <a:cxnLst/>
                            <a:rect l="0" t="0" r="0" b="0"/>
                            <a:pathLst>
                              <a:path w="5800091" h="9525">
                                <a:moveTo>
                                  <a:pt x="0" y="0"/>
                                </a:moveTo>
                                <a:lnTo>
                                  <a:pt x="5800091" y="0"/>
                                </a:lnTo>
                                <a:lnTo>
                                  <a:pt x="5800091"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1771" style="width:456.7pt;height:4.5pt;mso-position-horizontal-relative:char;mso-position-vertical-relative:line" coordsize="58000,571">
                <v:shape id="Shape 2233" style="position:absolute;width:58000;height:381;left:0;top:190;" coordsize="5800091,38100" path="m0,0l5800091,0l5800091,38100l0,38100l0,0">
                  <v:stroke weight="0pt" endcap="flat" joinstyle="miter" miterlimit="10" on="false" color="#000000" opacity="0"/>
                  <v:fill on="true" color="#622423"/>
                </v:shape>
                <v:shape id="Shape 2234" style="position:absolute;width:58000;height:95;left:0;top:0;" coordsize="5800091,9525" path="m0,0l5800091,0l5800091,9525l0,9525l0,0">
                  <v:stroke weight="0pt" endcap="flat" joinstyle="miter" miterlimit="10" on="false" color="#000000" opacity="0"/>
                  <v:fill on="true" color="#622423"/>
                </v:shape>
              </v:group>
            </w:pict>
          </mc:Fallback>
        </mc:AlternateContent>
      </w:r>
    </w:p>
    <w:p w14:paraId="75FAB483" w14:textId="77777777" w:rsidR="004F2EF7" w:rsidRDefault="00922295">
      <w:pPr>
        <w:spacing w:after="40"/>
      </w:pPr>
      <w:r>
        <w:t xml:space="preserve"> </w:t>
      </w:r>
    </w:p>
    <w:p w14:paraId="2DEC0D23" w14:textId="77777777" w:rsidR="004F2EF7" w:rsidRDefault="00922295">
      <w:pPr>
        <w:spacing w:after="166"/>
        <w:ind w:left="-5" w:hanging="10"/>
      </w:pPr>
      <w:r>
        <w:rPr>
          <w:b/>
          <w:sz w:val="28"/>
        </w:rPr>
        <w:t xml:space="preserve">Situation 1 : </w:t>
      </w:r>
      <w:r>
        <w:rPr>
          <w:sz w:val="28"/>
        </w:rPr>
        <w:t xml:space="preserve">La </w:t>
      </w:r>
      <w:r>
        <w:rPr>
          <w:b/>
          <w:sz w:val="28"/>
        </w:rPr>
        <w:t xml:space="preserve">société SPOTSURF </w:t>
      </w:r>
    </w:p>
    <w:p w14:paraId="53C0C1D1" w14:textId="77777777" w:rsidR="004F2EF7" w:rsidRDefault="00922295">
      <w:pPr>
        <w:spacing w:after="223" w:line="251" w:lineRule="auto"/>
        <w:ind w:left="10" w:hanging="10"/>
        <w:jc w:val="both"/>
      </w:pPr>
      <w:r>
        <w:rPr>
          <w:sz w:val="24"/>
        </w:rPr>
        <w:t xml:space="preserve">La </w:t>
      </w:r>
      <w:r>
        <w:rPr>
          <w:b/>
          <w:sz w:val="24"/>
        </w:rPr>
        <w:t>société SPOTSURF</w:t>
      </w:r>
      <w:r>
        <w:rPr>
          <w:sz w:val="24"/>
        </w:rPr>
        <w:t xml:space="preserve">, fabricant de matériel de surf, a fait appel à un prestataire de services informatiques, la </w:t>
      </w:r>
      <w:r>
        <w:rPr>
          <w:b/>
          <w:sz w:val="24"/>
        </w:rPr>
        <w:t>société INFOTECHNO</w:t>
      </w:r>
      <w:r>
        <w:rPr>
          <w:sz w:val="24"/>
        </w:rPr>
        <w:t xml:space="preserve">, pour la fourniture d’un progiciel de gestion de stocks et son intégration dans le système d’information de l’entreprise.  </w:t>
      </w:r>
    </w:p>
    <w:p w14:paraId="24D8616B" w14:textId="77777777" w:rsidR="004F2EF7" w:rsidRDefault="00922295">
      <w:pPr>
        <w:spacing w:after="206" w:line="268" w:lineRule="auto"/>
        <w:ind w:left="-5" w:hanging="10"/>
        <w:jc w:val="both"/>
      </w:pPr>
      <w:r>
        <w:rPr>
          <w:sz w:val="24"/>
        </w:rPr>
        <w:t xml:space="preserve">Durant la période précontractuelle, le prestataire indique à la </w:t>
      </w:r>
      <w:r>
        <w:rPr>
          <w:b/>
          <w:sz w:val="24"/>
        </w:rPr>
        <w:t xml:space="preserve">société SPOTSURF </w:t>
      </w:r>
      <w:r>
        <w:rPr>
          <w:sz w:val="24"/>
        </w:rPr>
        <w:t xml:space="preserve">les fonctionnalités générales du logiciel mais ne la questionne pas sur ses réels besoins en vue d’adapter le logiciel. Aucun cahier des charges n’est élaboré malgré la demande du client. Un contrat est finalement établi et signé. Il prévoit la livraison et l’intégration du logiciel sous un délai de 3 mois. 40% du montant de la prestation est versé dès la signature du contrat.  </w:t>
      </w:r>
    </w:p>
    <w:p w14:paraId="1C1E0E54" w14:textId="77777777" w:rsidR="004F2EF7" w:rsidRDefault="00922295">
      <w:pPr>
        <w:spacing w:after="219"/>
      </w:pPr>
      <w:r>
        <w:rPr>
          <w:sz w:val="24"/>
        </w:rPr>
        <w:t xml:space="preserve"> </w:t>
      </w:r>
    </w:p>
    <w:p w14:paraId="481878CB" w14:textId="77777777" w:rsidR="004F2EF7" w:rsidRDefault="00922295">
      <w:pPr>
        <w:spacing w:after="246" w:line="268" w:lineRule="auto"/>
        <w:ind w:left="-5" w:hanging="10"/>
        <w:jc w:val="both"/>
      </w:pPr>
      <w:r>
        <w:rPr>
          <w:sz w:val="24"/>
        </w:rPr>
        <w:t xml:space="preserve">Après installation et utilisation du logiciel, </w:t>
      </w:r>
      <w:r>
        <w:rPr>
          <w:b/>
          <w:sz w:val="24"/>
        </w:rPr>
        <w:t>la société SPOTSURF</w:t>
      </w:r>
      <w:r>
        <w:rPr>
          <w:sz w:val="24"/>
        </w:rPr>
        <w:t xml:space="preserve"> constate que :  </w:t>
      </w:r>
    </w:p>
    <w:p w14:paraId="6DDEDA23" w14:textId="77777777" w:rsidR="004F2EF7" w:rsidRDefault="00922295">
      <w:pPr>
        <w:numPr>
          <w:ilvl w:val="0"/>
          <w:numId w:val="1"/>
        </w:numPr>
        <w:spacing w:after="0" w:line="251" w:lineRule="auto"/>
        <w:ind w:hanging="360"/>
        <w:jc w:val="both"/>
      </w:pPr>
      <w:r>
        <w:rPr>
          <w:sz w:val="24"/>
        </w:rPr>
        <w:t xml:space="preserve">le logiciel n’intègre pas toutes les fonctionnalités dont elle a besoin ;  </w:t>
      </w:r>
    </w:p>
    <w:p w14:paraId="19635B1E" w14:textId="77777777" w:rsidR="004F2EF7" w:rsidRDefault="00922295">
      <w:pPr>
        <w:numPr>
          <w:ilvl w:val="0"/>
          <w:numId w:val="1"/>
        </w:numPr>
        <w:spacing w:after="0" w:line="251" w:lineRule="auto"/>
        <w:ind w:hanging="360"/>
        <w:jc w:val="both"/>
      </w:pPr>
      <w:r>
        <w:rPr>
          <w:sz w:val="24"/>
        </w:rPr>
        <w:t xml:space="preserve">des dysfonctionnements majeurs, pourtant signalés au prestataire, n’ont toujours pas été corrigés.  </w:t>
      </w:r>
    </w:p>
    <w:p w14:paraId="13AB3EAE" w14:textId="77777777" w:rsidR="004F2EF7" w:rsidRDefault="00922295">
      <w:pPr>
        <w:spacing w:after="219"/>
        <w:ind w:left="711"/>
      </w:pPr>
      <w:r>
        <w:rPr>
          <w:sz w:val="24"/>
        </w:rPr>
        <w:t xml:space="preserve"> </w:t>
      </w:r>
    </w:p>
    <w:p w14:paraId="2B905634" w14:textId="77777777" w:rsidR="004F2EF7" w:rsidRDefault="00922295">
      <w:pPr>
        <w:spacing w:after="206" w:line="268" w:lineRule="auto"/>
        <w:ind w:left="-5" w:hanging="10"/>
        <w:jc w:val="both"/>
      </w:pPr>
      <w:r>
        <w:rPr>
          <w:sz w:val="24"/>
        </w:rPr>
        <w:t xml:space="preserve">Des problèmes importants dans la gestion des stocks sont donc apparus, notamment des ruptures de certaines références qui ont entrainé des pertes de commandes clients et des doublons dans les commandes aux fournisseurs. </w:t>
      </w:r>
      <w:r>
        <w:rPr>
          <w:b/>
          <w:sz w:val="24"/>
        </w:rPr>
        <w:t>La société SPOTSURF</w:t>
      </w:r>
      <w:r>
        <w:rPr>
          <w:sz w:val="24"/>
        </w:rPr>
        <w:t xml:space="preserve"> envisage d’intenter une action en justice pour faire valoir ses droits.  </w:t>
      </w:r>
    </w:p>
    <w:p w14:paraId="5B47DD2F" w14:textId="77777777" w:rsidR="004F2EF7" w:rsidRDefault="00922295">
      <w:pPr>
        <w:spacing w:after="260"/>
      </w:pPr>
      <w:r>
        <w:rPr>
          <w:b/>
          <w:sz w:val="24"/>
        </w:rPr>
        <w:t xml:space="preserve"> </w:t>
      </w:r>
    </w:p>
    <w:p w14:paraId="6EFD3B2C" w14:textId="023BA6C8" w:rsidR="004F2EF7" w:rsidRPr="00E34731" w:rsidRDefault="00922295">
      <w:pPr>
        <w:numPr>
          <w:ilvl w:val="0"/>
          <w:numId w:val="2"/>
        </w:numPr>
        <w:spacing w:after="58"/>
        <w:ind w:hanging="360"/>
      </w:pPr>
      <w:r>
        <w:rPr>
          <w:b/>
          <w:sz w:val="24"/>
        </w:rPr>
        <w:t xml:space="preserve">Présentez et reformulez les faits </w:t>
      </w:r>
    </w:p>
    <w:p w14:paraId="457A0871" w14:textId="750C5CCE" w:rsidR="00E34731" w:rsidRDefault="00E34731" w:rsidP="00E34731">
      <w:pPr>
        <w:spacing w:after="58"/>
        <w:ind w:left="706"/>
        <w:rPr>
          <w:bCs/>
          <w:color w:val="4472C4" w:themeColor="accent1"/>
          <w:sz w:val="24"/>
        </w:rPr>
      </w:pPr>
      <w:r>
        <w:rPr>
          <w:bCs/>
          <w:color w:val="4472C4" w:themeColor="accent1"/>
          <w:sz w:val="24"/>
        </w:rPr>
        <w:t>L</w:t>
      </w:r>
      <w:r w:rsidR="008066CC">
        <w:rPr>
          <w:bCs/>
          <w:color w:val="4472C4" w:themeColor="accent1"/>
          <w:sz w:val="24"/>
        </w:rPr>
        <w:t>e client, l</w:t>
      </w:r>
      <w:r>
        <w:rPr>
          <w:bCs/>
          <w:color w:val="4472C4" w:themeColor="accent1"/>
          <w:sz w:val="24"/>
        </w:rPr>
        <w:t xml:space="preserve">a société SPOTSURF </w:t>
      </w:r>
      <w:r w:rsidR="008066CC">
        <w:rPr>
          <w:bCs/>
          <w:color w:val="4472C4" w:themeColor="accent1"/>
          <w:sz w:val="24"/>
        </w:rPr>
        <w:t>a</w:t>
      </w:r>
      <w:r>
        <w:rPr>
          <w:bCs/>
          <w:color w:val="4472C4" w:themeColor="accent1"/>
          <w:sz w:val="24"/>
        </w:rPr>
        <w:t xml:space="preserve"> fait appel à un prestataire de services informatiques, la société INFOTECHNO, afin de réaliser un progiciel de gestion de stock et son intégration dans le système d’information de l’entreprise.</w:t>
      </w:r>
    </w:p>
    <w:p w14:paraId="1180028F" w14:textId="049AB3B1" w:rsidR="00E34731" w:rsidRDefault="00E34731" w:rsidP="00E34731">
      <w:pPr>
        <w:spacing w:after="58"/>
        <w:ind w:left="706"/>
        <w:rPr>
          <w:bCs/>
          <w:color w:val="4472C4" w:themeColor="accent1"/>
          <w:sz w:val="24"/>
        </w:rPr>
      </w:pPr>
      <w:r>
        <w:rPr>
          <w:bCs/>
          <w:color w:val="4472C4" w:themeColor="accent1"/>
          <w:sz w:val="24"/>
        </w:rPr>
        <w:t>Avant établissement du contrat, le prestataire n’établira jamais de cahier des charges malgré la demande du client.</w:t>
      </w:r>
    </w:p>
    <w:p w14:paraId="3DEC3550" w14:textId="3427B9CF" w:rsidR="00E34731" w:rsidRDefault="00E34731" w:rsidP="00E34731">
      <w:pPr>
        <w:spacing w:after="58"/>
        <w:ind w:left="706"/>
        <w:rPr>
          <w:bCs/>
          <w:color w:val="4472C4" w:themeColor="accent1"/>
          <w:sz w:val="24"/>
        </w:rPr>
      </w:pPr>
      <w:r>
        <w:rPr>
          <w:bCs/>
          <w:color w:val="4472C4" w:themeColor="accent1"/>
          <w:sz w:val="24"/>
        </w:rPr>
        <w:t>Après établissement du contrat, prévoyant la réalisation du progiciel et son intégration, le prestataire ne questionne pas son client sur ses besoins et n’intègre pas les fonctionnalités nécessaires au client.</w:t>
      </w:r>
    </w:p>
    <w:p w14:paraId="09238EBE" w14:textId="1D74E9AC" w:rsidR="00E34731" w:rsidRDefault="00E34731" w:rsidP="00E34731">
      <w:pPr>
        <w:spacing w:after="58"/>
        <w:ind w:left="706"/>
        <w:rPr>
          <w:bCs/>
          <w:color w:val="4472C4" w:themeColor="accent1"/>
        </w:rPr>
      </w:pPr>
      <w:r>
        <w:rPr>
          <w:bCs/>
          <w:color w:val="4472C4" w:themeColor="accent1"/>
        </w:rPr>
        <w:t>Après livraison, des dysfonctionnements du progiciel sont constatés, signalés mais n’ont toujours pas été corrigés.</w:t>
      </w:r>
    </w:p>
    <w:p w14:paraId="29351BF7" w14:textId="6DE56817" w:rsidR="00E34731" w:rsidRDefault="00E34731" w:rsidP="00E34731">
      <w:pPr>
        <w:spacing w:after="58"/>
        <w:ind w:left="706"/>
        <w:rPr>
          <w:bCs/>
          <w:color w:val="4472C4" w:themeColor="accent1"/>
        </w:rPr>
      </w:pPr>
      <w:r>
        <w:rPr>
          <w:bCs/>
          <w:color w:val="4472C4" w:themeColor="accent1"/>
        </w:rPr>
        <w:t>Tout cela entraine un investissement du client dans progiciel peu-utile, et lui portant un préjudice financier dû aux erreurs de stocks liées au progiciel.</w:t>
      </w:r>
    </w:p>
    <w:p w14:paraId="14D71971" w14:textId="1AF7CADC" w:rsidR="00BF7575" w:rsidRDefault="00BF7575" w:rsidP="00E34731">
      <w:pPr>
        <w:spacing w:after="58"/>
        <w:ind w:left="706"/>
        <w:rPr>
          <w:bCs/>
          <w:color w:val="4472C4" w:themeColor="accent1"/>
        </w:rPr>
      </w:pPr>
    </w:p>
    <w:p w14:paraId="2F2E265A" w14:textId="19040E4E" w:rsidR="00BF7575" w:rsidRDefault="00BF7575" w:rsidP="00E34731">
      <w:pPr>
        <w:spacing w:after="58"/>
        <w:ind w:left="706"/>
        <w:rPr>
          <w:bCs/>
          <w:color w:val="4472C4" w:themeColor="accent1"/>
        </w:rPr>
      </w:pPr>
      <w:r>
        <w:rPr>
          <w:bCs/>
          <w:color w:val="4472C4" w:themeColor="accent1"/>
        </w:rPr>
        <w:t>Livraison, délivrance, d’une solution informatique qui présente des dysfonctionnements et qui n’ont pas été corrigés par le prestataire.</w:t>
      </w:r>
    </w:p>
    <w:p w14:paraId="4BA589D9" w14:textId="28A6168F" w:rsidR="00BF7575" w:rsidRDefault="00BF7575" w:rsidP="00E34731">
      <w:pPr>
        <w:spacing w:after="58"/>
        <w:ind w:left="706"/>
        <w:rPr>
          <w:bCs/>
          <w:color w:val="4472C4" w:themeColor="accent1"/>
        </w:rPr>
      </w:pPr>
    </w:p>
    <w:p w14:paraId="06BC45CB" w14:textId="7FAB5AE1" w:rsidR="00BF7575" w:rsidRPr="00E34731" w:rsidRDefault="00BF7575" w:rsidP="00E34731">
      <w:pPr>
        <w:spacing w:after="58"/>
        <w:ind w:left="706"/>
        <w:rPr>
          <w:bCs/>
          <w:color w:val="4472C4" w:themeColor="accent1"/>
        </w:rPr>
      </w:pPr>
      <w:r>
        <w:rPr>
          <w:bCs/>
          <w:color w:val="4472C4" w:themeColor="accent1"/>
        </w:rPr>
        <w:t>Préjudice du client dans son activité (stock et commandes).</w:t>
      </w:r>
    </w:p>
    <w:p w14:paraId="03D404CB" w14:textId="7B2EAEB8" w:rsidR="004F2EF7" w:rsidRPr="00D80AC3" w:rsidRDefault="00922295">
      <w:pPr>
        <w:numPr>
          <w:ilvl w:val="0"/>
          <w:numId w:val="2"/>
        </w:numPr>
        <w:spacing w:after="58"/>
        <w:ind w:hanging="360"/>
      </w:pPr>
      <w:r>
        <w:rPr>
          <w:b/>
          <w:sz w:val="24"/>
        </w:rPr>
        <w:lastRenderedPageBreak/>
        <w:t xml:space="preserve">Recherchez les différents manquements contractuels du prestataire  </w:t>
      </w:r>
    </w:p>
    <w:p w14:paraId="27D56AE6" w14:textId="7B799961" w:rsidR="00D80AC3" w:rsidRDefault="00922295" w:rsidP="00D80AC3">
      <w:pPr>
        <w:spacing w:after="58"/>
        <w:ind w:left="706"/>
        <w:rPr>
          <w:color w:val="4472C4" w:themeColor="accent1"/>
        </w:rPr>
      </w:pPr>
      <w:r>
        <w:rPr>
          <w:color w:val="4472C4" w:themeColor="accent1"/>
        </w:rPr>
        <w:t>Pas</w:t>
      </w:r>
      <w:r w:rsidR="00D80AC3">
        <w:rPr>
          <w:color w:val="4472C4" w:themeColor="accent1"/>
        </w:rPr>
        <w:t xml:space="preserve"> cahier des charges </w:t>
      </w:r>
    </w:p>
    <w:p w14:paraId="60D45CE8" w14:textId="77777777" w:rsidR="00922295" w:rsidRDefault="00922295" w:rsidP="00D80AC3">
      <w:pPr>
        <w:spacing w:after="58"/>
        <w:ind w:left="706"/>
        <w:rPr>
          <w:color w:val="4472C4" w:themeColor="accent1"/>
        </w:rPr>
      </w:pPr>
      <w:r>
        <w:rPr>
          <w:color w:val="4472C4" w:themeColor="accent1"/>
        </w:rPr>
        <w:t>Informations succinctes sur le produit.</w:t>
      </w:r>
    </w:p>
    <w:p w14:paraId="1FDBEA5C" w14:textId="0F520989" w:rsidR="00D80AC3" w:rsidRDefault="00922295" w:rsidP="00D80AC3">
      <w:pPr>
        <w:spacing w:after="58"/>
        <w:ind w:left="706"/>
        <w:rPr>
          <w:color w:val="4472C4" w:themeColor="accent1"/>
        </w:rPr>
      </w:pPr>
      <w:r>
        <w:rPr>
          <w:color w:val="4472C4" w:themeColor="accent1"/>
        </w:rPr>
        <w:t>Pas de questionnement sur les besoins du client.</w:t>
      </w:r>
    </w:p>
    <w:p w14:paraId="70DB2599" w14:textId="7B6EE465" w:rsidR="00922295" w:rsidRDefault="009F018F" w:rsidP="00D80AC3">
      <w:pPr>
        <w:spacing w:after="58"/>
        <w:ind w:left="706"/>
        <w:rPr>
          <w:color w:val="4472C4" w:themeColor="accent1"/>
        </w:rPr>
      </w:pPr>
      <w:r>
        <w:rPr>
          <w:color w:val="4472C4" w:themeColor="accent1"/>
        </w:rPr>
        <w:t>Livraison d’un progiciel incomplet et défaillant.</w:t>
      </w:r>
    </w:p>
    <w:p w14:paraId="683CF2D8" w14:textId="77777777" w:rsidR="00922295" w:rsidRDefault="00922295" w:rsidP="00D80AC3">
      <w:pPr>
        <w:spacing w:after="58"/>
        <w:ind w:left="706"/>
        <w:rPr>
          <w:color w:val="4472C4" w:themeColor="accent1"/>
        </w:rPr>
      </w:pPr>
    </w:p>
    <w:p w14:paraId="6581A6D3" w14:textId="2719539A" w:rsidR="00922295" w:rsidRDefault="00922295" w:rsidP="00922295">
      <w:pPr>
        <w:spacing w:after="58"/>
        <w:ind w:left="706"/>
        <w:rPr>
          <w:color w:val="4472C4" w:themeColor="accent1"/>
        </w:rPr>
      </w:pPr>
      <w:r>
        <w:rPr>
          <w:color w:val="4472C4" w:themeColor="accent1"/>
        </w:rPr>
        <w:t>Obligation d’information : de renseignement, de conseil.</w:t>
      </w:r>
    </w:p>
    <w:p w14:paraId="11A904D4" w14:textId="25EEE4EF" w:rsidR="00922295" w:rsidRPr="00D80AC3" w:rsidRDefault="00922295" w:rsidP="00922295">
      <w:pPr>
        <w:spacing w:after="58"/>
        <w:ind w:left="706"/>
        <w:rPr>
          <w:color w:val="4472C4" w:themeColor="accent1"/>
        </w:rPr>
      </w:pPr>
      <w:r>
        <w:rPr>
          <w:color w:val="4472C4" w:themeColor="accent1"/>
        </w:rPr>
        <w:t>Obligation de délivrance.</w:t>
      </w:r>
    </w:p>
    <w:p w14:paraId="77C89252" w14:textId="18C42533" w:rsidR="004F2EF7" w:rsidRPr="009F018F" w:rsidRDefault="00922295">
      <w:pPr>
        <w:numPr>
          <w:ilvl w:val="0"/>
          <w:numId w:val="2"/>
        </w:numPr>
        <w:spacing w:after="180" w:line="275" w:lineRule="auto"/>
        <w:ind w:hanging="360"/>
      </w:pPr>
      <w:r>
        <w:rPr>
          <w:b/>
          <w:sz w:val="24"/>
        </w:rPr>
        <w:t>Présentez les conséquences juridiques qui peuvent découler de l’inex</w:t>
      </w:r>
      <w:r w:rsidR="00D80AC3">
        <w:rPr>
          <w:b/>
          <w:sz w:val="24"/>
        </w:rPr>
        <w:t>é</w:t>
      </w:r>
      <w:r>
        <w:rPr>
          <w:b/>
          <w:sz w:val="24"/>
        </w:rPr>
        <w:t xml:space="preserve">cution de ce contrat.  </w:t>
      </w:r>
    </w:p>
    <w:p w14:paraId="37D3E57A" w14:textId="542BE024" w:rsidR="009F018F" w:rsidRPr="009F018F" w:rsidRDefault="009F018F" w:rsidP="009F018F">
      <w:pPr>
        <w:spacing w:after="180" w:line="275" w:lineRule="auto"/>
        <w:ind w:left="706"/>
        <w:rPr>
          <w:bCs/>
          <w:color w:val="4472C4" w:themeColor="accent1"/>
        </w:rPr>
      </w:pPr>
      <w:r>
        <w:rPr>
          <w:bCs/>
          <w:color w:val="4472C4" w:themeColor="accent1"/>
          <w:sz w:val="24"/>
        </w:rPr>
        <w:t>Préjudice financier causé par les manquements du prestataire.</w:t>
      </w:r>
    </w:p>
    <w:p w14:paraId="64A244EE" w14:textId="77777777" w:rsidR="004F2EF7" w:rsidRDefault="00922295">
      <w:pPr>
        <w:spacing w:after="280"/>
      </w:pPr>
      <w:r>
        <w:rPr>
          <w:b/>
        </w:rPr>
        <w:t xml:space="preserve"> </w:t>
      </w:r>
    </w:p>
    <w:p w14:paraId="403B4317" w14:textId="77777777" w:rsidR="004F2EF7" w:rsidRDefault="00922295">
      <w:pPr>
        <w:pStyle w:val="Titre1"/>
      </w:pPr>
      <w:r>
        <w:t xml:space="preserve">Situation 2 : Protection d’une application </w:t>
      </w:r>
    </w:p>
    <w:p w14:paraId="3C89A106" w14:textId="77777777" w:rsidR="004F2EF7" w:rsidRDefault="00922295">
      <w:pPr>
        <w:spacing w:after="235" w:line="239" w:lineRule="auto"/>
        <w:jc w:val="both"/>
      </w:pPr>
      <w:r>
        <w:t xml:space="preserve">Deux étudiants en DUT Chimie ont eu l’idée de développer une application mobile de jeux, pour accompagner les lycéens dans l’apprentissage des mathématiques, de la physique et de la chimie et rendre leur apprentissage plus ludique. </w:t>
      </w:r>
    </w:p>
    <w:p w14:paraId="06F32A97" w14:textId="77777777" w:rsidR="004F2EF7" w:rsidRDefault="00922295">
      <w:pPr>
        <w:spacing w:after="220"/>
      </w:pPr>
      <w:r>
        <w:rPr>
          <w:color w:val="C00000"/>
        </w:rPr>
        <w:t xml:space="preserve"> </w:t>
      </w:r>
    </w:p>
    <w:p w14:paraId="39B59A4E" w14:textId="77777777" w:rsidR="004F2EF7" w:rsidRDefault="00922295">
      <w:pPr>
        <w:spacing w:after="230" w:line="249" w:lineRule="auto"/>
      </w:pPr>
      <w:r>
        <w:t xml:space="preserve">Ils vous ont confié la réalisation de cette application. </w:t>
      </w:r>
    </w:p>
    <w:p w14:paraId="06ED65B3" w14:textId="0CBA513F" w:rsidR="004F2EF7" w:rsidRDefault="00922295">
      <w:pPr>
        <w:spacing w:after="361" w:line="273" w:lineRule="auto"/>
        <w:rPr>
          <w:b/>
        </w:rPr>
      </w:pPr>
      <w:r>
        <w:rPr>
          <w:b/>
        </w:rPr>
        <w:t xml:space="preserve">Ils souhaitent connaitre les droits auxquels ils peuvent prétendre sur leur application et comment ils peuvent la protéger. </w:t>
      </w:r>
    </w:p>
    <w:p w14:paraId="4C07E2D1" w14:textId="77777777" w:rsidR="007A0EF0" w:rsidRDefault="007A0EF0" w:rsidP="007A0EF0">
      <w:pPr>
        <w:rPr>
          <w:color w:val="4472C4" w:themeColor="accent1"/>
        </w:rPr>
      </w:pPr>
      <w:r>
        <w:rPr>
          <w:color w:val="4472C4" w:themeColor="accent1"/>
        </w:rPr>
        <w:t>Code source : droit d’auteur moral.</w:t>
      </w:r>
      <w:r w:rsidRPr="00B05556">
        <w:rPr>
          <w:color w:val="4472C4" w:themeColor="accent1"/>
        </w:rPr>
        <w:br/>
        <w:t>Architecture base de données : droit d’auteur</w:t>
      </w:r>
      <w:r>
        <w:rPr>
          <w:color w:val="4472C4" w:themeColor="accent1"/>
        </w:rPr>
        <w:t xml:space="preserve"> moral</w:t>
      </w:r>
      <w:r w:rsidRPr="00B05556">
        <w:rPr>
          <w:color w:val="4472C4" w:themeColor="accent1"/>
        </w:rPr>
        <w:t>.</w:t>
      </w:r>
      <w:r w:rsidRPr="00B05556">
        <w:rPr>
          <w:color w:val="4472C4" w:themeColor="accent1"/>
        </w:rPr>
        <w:br/>
        <w:t>Contenu de la base : droit sui generis des producteurs de bases de données</w:t>
      </w:r>
      <w:r>
        <w:rPr>
          <w:color w:val="4472C4" w:themeColor="accent1"/>
        </w:rPr>
        <w:t xml:space="preserve"> patrimonial</w:t>
      </w:r>
      <w:r w:rsidRPr="00B05556">
        <w:rPr>
          <w:color w:val="4472C4" w:themeColor="accent1"/>
        </w:rPr>
        <w:t>.</w:t>
      </w:r>
      <w:r w:rsidRPr="00B05556">
        <w:rPr>
          <w:color w:val="4472C4" w:themeColor="accent1"/>
        </w:rPr>
        <w:br/>
        <w:t>Nom, logo, interfaces et contenus multimédias : droit d’auteur</w:t>
      </w:r>
      <w:r>
        <w:rPr>
          <w:color w:val="4472C4" w:themeColor="accent1"/>
        </w:rPr>
        <w:t xml:space="preserve"> moral</w:t>
      </w:r>
      <w:r w:rsidRPr="00B05556">
        <w:rPr>
          <w:color w:val="4472C4" w:themeColor="accent1"/>
        </w:rPr>
        <w:t>.</w:t>
      </w:r>
    </w:p>
    <w:p w14:paraId="659557E5" w14:textId="77777777" w:rsidR="007A0EF0" w:rsidRDefault="007A0EF0" w:rsidP="007A0EF0">
      <w:pPr>
        <w:rPr>
          <w:color w:val="4472C4" w:themeColor="accent1"/>
        </w:rPr>
      </w:pPr>
      <w:r w:rsidRPr="00B05556">
        <w:rPr>
          <w:color w:val="4472C4" w:themeColor="accent1"/>
        </w:rPr>
        <w:br/>
        <w:t>Les droits de chaque composant sont détenus par le concepteur du composant (hormis cession des droits).</w:t>
      </w:r>
      <w:r>
        <w:rPr>
          <w:color w:val="4472C4" w:themeColor="accent1"/>
        </w:rPr>
        <w:br/>
        <w:t>L’employeur du ou des salariés ayant développé l’application sera titulaire des droits patrimoniaux. (c’est-à-dire les deux étudiants du DUT Chimie)</w:t>
      </w:r>
    </w:p>
    <w:p w14:paraId="2D59E294" w14:textId="77777777" w:rsidR="007A0EF0" w:rsidRDefault="007A0EF0" w:rsidP="007A0EF0">
      <w:pPr>
        <w:rPr>
          <w:color w:val="4472C4" w:themeColor="accent1"/>
        </w:rPr>
      </w:pPr>
    </w:p>
    <w:p w14:paraId="6C56214D" w14:textId="77777777" w:rsidR="007A0EF0" w:rsidRDefault="007A0EF0" w:rsidP="007A0EF0">
      <w:pPr>
        <w:rPr>
          <w:color w:val="4472C4" w:themeColor="accent1"/>
        </w:rPr>
      </w:pPr>
    </w:p>
    <w:p w14:paraId="3F488980" w14:textId="77777777" w:rsidR="007A0EF0" w:rsidRDefault="007A0EF0" w:rsidP="007A0EF0">
      <w:pPr>
        <w:rPr>
          <w:color w:val="4472C4" w:themeColor="accent1"/>
        </w:rPr>
      </w:pPr>
      <w:r>
        <w:rPr>
          <w:color w:val="4472C4" w:themeColor="accent1"/>
        </w:rPr>
        <w:t>Corrigé :</w:t>
      </w:r>
    </w:p>
    <w:p w14:paraId="5CCFB729" w14:textId="77777777" w:rsidR="007A0EF0" w:rsidRDefault="007A0EF0" w:rsidP="007A0EF0">
      <w:pPr>
        <w:rPr>
          <w:color w:val="4472C4" w:themeColor="accent1"/>
        </w:rPr>
      </w:pPr>
      <w:r>
        <w:rPr>
          <w:color w:val="4472C4" w:themeColor="accent1"/>
        </w:rPr>
        <w:t>Droit d’auteur :</w:t>
      </w:r>
    </w:p>
    <w:p w14:paraId="27B27A8F" w14:textId="77777777" w:rsidR="007A0EF0" w:rsidRDefault="007A0EF0" w:rsidP="007A0EF0">
      <w:pPr>
        <w:pStyle w:val="Paragraphedeliste"/>
        <w:numPr>
          <w:ilvl w:val="0"/>
          <w:numId w:val="1"/>
        </w:numPr>
        <w:rPr>
          <w:color w:val="4472C4" w:themeColor="accent1"/>
        </w:rPr>
      </w:pPr>
      <w:r w:rsidRPr="007363B7">
        <w:rPr>
          <w:color w:val="4472C4" w:themeColor="accent1"/>
        </w:rPr>
        <w:t>Droits moraux : perpétuel</w:t>
      </w:r>
      <w:r>
        <w:rPr>
          <w:color w:val="4472C4" w:themeColor="accent1"/>
        </w:rPr>
        <w:t>s</w:t>
      </w:r>
      <w:r w:rsidRPr="007363B7">
        <w:rPr>
          <w:color w:val="4472C4" w:themeColor="accent1"/>
        </w:rPr>
        <w:t>, incessible</w:t>
      </w:r>
      <w:r>
        <w:rPr>
          <w:color w:val="4472C4" w:themeColor="accent1"/>
        </w:rPr>
        <w:t>s</w:t>
      </w:r>
      <w:r w:rsidRPr="007363B7">
        <w:rPr>
          <w:color w:val="4472C4" w:themeColor="accent1"/>
        </w:rPr>
        <w:t>, droit de paternité</w:t>
      </w:r>
    </w:p>
    <w:p w14:paraId="0514918D" w14:textId="77777777" w:rsidR="007A0EF0" w:rsidRPr="007363B7" w:rsidRDefault="007A0EF0" w:rsidP="007A0EF0">
      <w:pPr>
        <w:pStyle w:val="Paragraphedeliste"/>
        <w:numPr>
          <w:ilvl w:val="0"/>
          <w:numId w:val="1"/>
        </w:numPr>
        <w:rPr>
          <w:color w:val="4472C4" w:themeColor="accent1"/>
        </w:rPr>
      </w:pPr>
      <w:r>
        <w:rPr>
          <w:color w:val="4472C4" w:themeColor="accent1"/>
        </w:rPr>
        <w:t>Droits patrimoniaux : limités, cessibles, 70ans après la mort de l’auteur, droit d’exploitation, reproduction, représentation, d’adaptation, distribution et épuisement des droits.</w:t>
      </w:r>
    </w:p>
    <w:p w14:paraId="01207A49" w14:textId="77777777" w:rsidR="007A0EF0" w:rsidRPr="00B05556" w:rsidRDefault="007A0EF0" w:rsidP="007A0EF0">
      <w:pPr>
        <w:rPr>
          <w:color w:val="4472C4" w:themeColor="accent1"/>
        </w:rPr>
      </w:pPr>
      <w:r>
        <w:rPr>
          <w:color w:val="4472C4" w:themeColor="accent1"/>
        </w:rPr>
        <w:t>Code source =&gt; Logiciel (juridiquement) : Droit d’auteur, droit moral</w:t>
      </w:r>
      <w:r>
        <w:rPr>
          <w:color w:val="4472C4" w:themeColor="accent1"/>
        </w:rPr>
        <w:br/>
        <w:t>BDD :</w:t>
      </w:r>
      <w:r>
        <w:rPr>
          <w:color w:val="4472C4" w:themeColor="accent1"/>
        </w:rPr>
        <w:br/>
        <w:t>- Architecture de la base : Droit d’auteur, droit moral.</w:t>
      </w:r>
      <w:r>
        <w:rPr>
          <w:color w:val="4472C4" w:themeColor="accent1"/>
        </w:rPr>
        <w:br/>
      </w:r>
      <w:r>
        <w:rPr>
          <w:color w:val="4472C4" w:themeColor="accent1"/>
        </w:rPr>
        <w:lastRenderedPageBreak/>
        <w:t>- Contenu : Droit Sui Generis des producteurs de bases de données.</w:t>
      </w:r>
      <w:r>
        <w:rPr>
          <w:color w:val="4472C4" w:themeColor="accent1"/>
        </w:rPr>
        <w:br/>
        <w:t>Nom / logo : Droit d’auteur, droit moral.</w:t>
      </w:r>
      <w:r>
        <w:rPr>
          <w:color w:val="4472C4" w:themeColor="accent1"/>
        </w:rPr>
        <w:br/>
        <w:t xml:space="preserve">Site internet (nom de domaine) : </w:t>
      </w:r>
      <w:r>
        <w:rPr>
          <w:color w:val="4472C4" w:themeColor="accent1"/>
        </w:rPr>
        <w:br/>
        <w:t>Interface graphique / contenus multimédia : Droit d’auteur, droit moral.</w:t>
      </w:r>
      <w:r>
        <w:rPr>
          <w:color w:val="4472C4" w:themeColor="accent1"/>
        </w:rPr>
        <w:br/>
        <w:t>Synopsis : Droit d’auteur, droit moral.</w:t>
      </w:r>
    </w:p>
    <w:p w14:paraId="62CB90C3" w14:textId="367D6F7E" w:rsidR="00564129" w:rsidRDefault="00564129">
      <w:pPr>
        <w:spacing w:after="361" w:line="273" w:lineRule="auto"/>
        <w:rPr>
          <w:b/>
        </w:rPr>
      </w:pPr>
    </w:p>
    <w:p w14:paraId="052B08C6" w14:textId="5EFC38CB" w:rsidR="00564129" w:rsidRDefault="00564129">
      <w:pPr>
        <w:spacing w:after="361" w:line="273" w:lineRule="auto"/>
        <w:rPr>
          <w:b/>
        </w:rPr>
      </w:pPr>
    </w:p>
    <w:p w14:paraId="0D1BABAD" w14:textId="7995BCD9" w:rsidR="00564129" w:rsidRDefault="00564129">
      <w:pPr>
        <w:spacing w:after="361" w:line="273" w:lineRule="auto"/>
        <w:rPr>
          <w:b/>
        </w:rPr>
      </w:pPr>
    </w:p>
    <w:p w14:paraId="007AC919" w14:textId="018165BB" w:rsidR="00564129" w:rsidRDefault="00564129">
      <w:pPr>
        <w:spacing w:after="361" w:line="273" w:lineRule="auto"/>
        <w:rPr>
          <w:b/>
        </w:rPr>
      </w:pPr>
    </w:p>
    <w:p w14:paraId="5C285967" w14:textId="12FA98AD" w:rsidR="00564129" w:rsidRDefault="00564129">
      <w:pPr>
        <w:spacing w:after="361" w:line="273" w:lineRule="auto"/>
        <w:rPr>
          <w:b/>
        </w:rPr>
      </w:pPr>
    </w:p>
    <w:p w14:paraId="32BFDE52" w14:textId="05C0AF7B" w:rsidR="00564129" w:rsidRDefault="00564129">
      <w:pPr>
        <w:spacing w:after="361" w:line="273" w:lineRule="auto"/>
        <w:rPr>
          <w:b/>
        </w:rPr>
      </w:pPr>
    </w:p>
    <w:p w14:paraId="4C18C44B" w14:textId="6D2F5D71" w:rsidR="00564129" w:rsidRDefault="00564129">
      <w:pPr>
        <w:spacing w:after="361" w:line="273" w:lineRule="auto"/>
        <w:rPr>
          <w:b/>
        </w:rPr>
      </w:pPr>
    </w:p>
    <w:p w14:paraId="4D209CFB" w14:textId="7733166E" w:rsidR="00564129" w:rsidRDefault="00564129">
      <w:pPr>
        <w:spacing w:after="361" w:line="273" w:lineRule="auto"/>
        <w:rPr>
          <w:b/>
        </w:rPr>
      </w:pPr>
    </w:p>
    <w:p w14:paraId="7DF08493" w14:textId="55FFEE80" w:rsidR="00564129" w:rsidRDefault="00564129">
      <w:pPr>
        <w:spacing w:after="361" w:line="273" w:lineRule="auto"/>
      </w:pPr>
    </w:p>
    <w:p w14:paraId="566D963E" w14:textId="4529A37D" w:rsidR="007A0EF0" w:rsidRDefault="007A0EF0">
      <w:pPr>
        <w:spacing w:after="361" w:line="273" w:lineRule="auto"/>
      </w:pPr>
    </w:p>
    <w:p w14:paraId="6971B984" w14:textId="1F4539C6" w:rsidR="007A0EF0" w:rsidRDefault="007A0EF0">
      <w:pPr>
        <w:spacing w:after="361" w:line="273" w:lineRule="auto"/>
      </w:pPr>
    </w:p>
    <w:p w14:paraId="3DC61F6C" w14:textId="74B03870" w:rsidR="007A0EF0" w:rsidRDefault="007A0EF0">
      <w:pPr>
        <w:spacing w:after="361" w:line="273" w:lineRule="auto"/>
      </w:pPr>
    </w:p>
    <w:p w14:paraId="27722876" w14:textId="6186EF70" w:rsidR="007A0EF0" w:rsidRDefault="007A0EF0">
      <w:pPr>
        <w:spacing w:after="361" w:line="273" w:lineRule="auto"/>
      </w:pPr>
    </w:p>
    <w:p w14:paraId="109C7ADA" w14:textId="5E21A488" w:rsidR="007A0EF0" w:rsidRDefault="007A0EF0">
      <w:pPr>
        <w:spacing w:after="361" w:line="273" w:lineRule="auto"/>
      </w:pPr>
    </w:p>
    <w:p w14:paraId="4BB1DD1B" w14:textId="017C3DA3" w:rsidR="007A0EF0" w:rsidRDefault="007A0EF0">
      <w:pPr>
        <w:spacing w:after="361" w:line="273" w:lineRule="auto"/>
      </w:pPr>
    </w:p>
    <w:p w14:paraId="16554E1D" w14:textId="61A27558" w:rsidR="007A0EF0" w:rsidRDefault="007A0EF0">
      <w:pPr>
        <w:spacing w:after="361" w:line="273" w:lineRule="auto"/>
      </w:pPr>
    </w:p>
    <w:p w14:paraId="307C88E6" w14:textId="349CAC22" w:rsidR="007A0EF0" w:rsidRDefault="007A0EF0">
      <w:pPr>
        <w:spacing w:after="361" w:line="273" w:lineRule="auto"/>
      </w:pPr>
    </w:p>
    <w:p w14:paraId="79846040" w14:textId="666D7786" w:rsidR="007A0EF0" w:rsidRDefault="007A0EF0">
      <w:pPr>
        <w:spacing w:after="361" w:line="273" w:lineRule="auto"/>
      </w:pPr>
    </w:p>
    <w:p w14:paraId="108F4EB0" w14:textId="77777777" w:rsidR="007A0EF0" w:rsidRDefault="007A0EF0">
      <w:pPr>
        <w:spacing w:after="361" w:line="273" w:lineRule="auto"/>
      </w:pPr>
    </w:p>
    <w:p w14:paraId="5C6342D1" w14:textId="77777777" w:rsidR="004F2EF7" w:rsidRDefault="00922295">
      <w:pPr>
        <w:spacing w:after="52"/>
        <w:ind w:left="330"/>
      </w:pPr>
      <w:r>
        <w:rPr>
          <w:noProof/>
        </w:rPr>
        <mc:AlternateContent>
          <mc:Choice Requires="wpg">
            <w:drawing>
              <wp:inline distT="0" distB="0" distL="0" distR="0" wp14:anchorId="7F13718E" wp14:editId="27F855B0">
                <wp:extent cx="5342890" cy="57150"/>
                <wp:effectExtent l="0" t="0" r="0" b="0"/>
                <wp:docPr id="1772" name="Group 1772"/>
                <wp:cNvGraphicFramePr/>
                <a:graphic xmlns:a="http://schemas.openxmlformats.org/drawingml/2006/main">
                  <a:graphicData uri="http://schemas.microsoft.com/office/word/2010/wordprocessingGroup">
                    <wpg:wgp>
                      <wpg:cNvGrpSpPr/>
                      <wpg:grpSpPr>
                        <a:xfrm>
                          <a:off x="0" y="0"/>
                          <a:ext cx="5342890" cy="57150"/>
                          <a:chOff x="0" y="0"/>
                          <a:chExt cx="5342890" cy="57150"/>
                        </a:xfrm>
                      </wpg:grpSpPr>
                      <wps:wsp>
                        <wps:cNvPr id="2235" name="Shape 2235"/>
                        <wps:cNvSpPr/>
                        <wps:spPr>
                          <a:xfrm>
                            <a:off x="0" y="0"/>
                            <a:ext cx="5342890" cy="38100"/>
                          </a:xfrm>
                          <a:custGeom>
                            <a:avLst/>
                            <a:gdLst/>
                            <a:ahLst/>
                            <a:cxnLst/>
                            <a:rect l="0" t="0" r="0" b="0"/>
                            <a:pathLst>
                              <a:path w="5342890" h="38100">
                                <a:moveTo>
                                  <a:pt x="0" y="0"/>
                                </a:moveTo>
                                <a:lnTo>
                                  <a:pt x="5342890" y="0"/>
                                </a:lnTo>
                                <a:lnTo>
                                  <a:pt x="534289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36" name="Shape 2236"/>
                        <wps:cNvSpPr/>
                        <wps:spPr>
                          <a:xfrm>
                            <a:off x="0" y="47625"/>
                            <a:ext cx="5342890" cy="9525"/>
                          </a:xfrm>
                          <a:custGeom>
                            <a:avLst/>
                            <a:gdLst/>
                            <a:ahLst/>
                            <a:cxnLst/>
                            <a:rect l="0" t="0" r="0" b="0"/>
                            <a:pathLst>
                              <a:path w="5342890" h="9525">
                                <a:moveTo>
                                  <a:pt x="0" y="0"/>
                                </a:moveTo>
                                <a:lnTo>
                                  <a:pt x="5342890" y="0"/>
                                </a:lnTo>
                                <a:lnTo>
                                  <a:pt x="5342890"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1772" style="width:420.7pt;height:4.5pt;mso-position-horizontal-relative:char;mso-position-vertical-relative:line" coordsize="53428,571">
                <v:shape id="Shape 2237" style="position:absolute;width:53428;height:381;left:0;top:0;" coordsize="5342890,38100" path="m0,0l5342890,0l5342890,38100l0,38100l0,0">
                  <v:stroke weight="0pt" endcap="flat" joinstyle="miter" miterlimit="10" on="false" color="#000000" opacity="0"/>
                  <v:fill on="true" color="#622423"/>
                </v:shape>
                <v:shape id="Shape 2238" style="position:absolute;width:53428;height:95;left:0;top:476;" coordsize="5342890,9525" path="m0,0l5342890,0l5342890,9525l0,9525l0,0">
                  <v:stroke weight="0pt" endcap="flat" joinstyle="miter" miterlimit="10" on="false" color="#000000" opacity="0"/>
                  <v:fill on="true" color="#622423"/>
                </v:shape>
              </v:group>
            </w:pict>
          </mc:Fallback>
        </mc:AlternateContent>
      </w:r>
    </w:p>
    <w:p w14:paraId="67072E01" w14:textId="21D772D9" w:rsidR="004F2EF7" w:rsidRDefault="00922295">
      <w:pPr>
        <w:tabs>
          <w:tab w:val="center" w:pos="666"/>
          <w:tab w:val="center" w:pos="7931"/>
          <w:tab w:val="right" w:pos="9078"/>
        </w:tabs>
        <w:spacing w:after="0"/>
      </w:pPr>
      <w:r>
        <w:tab/>
        <w:t>I.</w:t>
      </w:r>
      <w:r>
        <w:rPr>
          <w:rFonts w:ascii="Arial" w:eastAsia="Arial" w:hAnsi="Arial" w:cs="Arial"/>
        </w:rPr>
        <w:t xml:space="preserve"> </w:t>
      </w:r>
      <w:r>
        <w:rPr>
          <w:rFonts w:ascii="Cambria" w:eastAsia="Cambria" w:hAnsi="Cambria" w:cs="Cambria"/>
        </w:rPr>
        <w:t xml:space="preserve">ROY </w:t>
      </w:r>
      <w:r>
        <w:rPr>
          <w:rFonts w:ascii="Cambria" w:eastAsia="Cambria" w:hAnsi="Cambria" w:cs="Cambria"/>
        </w:rPr>
        <w:tab/>
        <w:t>Septembre 2020</w:t>
      </w:r>
      <w:r>
        <w:t xml:space="preserve"> </w:t>
      </w:r>
      <w:r>
        <w:tab/>
      </w:r>
    </w:p>
    <w:p w14:paraId="197CD3A7" w14:textId="77777777" w:rsidR="004F2EF7" w:rsidRDefault="00922295">
      <w:pPr>
        <w:spacing w:after="0"/>
        <w:ind w:left="10" w:hanging="10"/>
        <w:jc w:val="center"/>
      </w:pPr>
      <w:r>
        <w:rPr>
          <w:rFonts w:ascii="Cambria" w:eastAsia="Cambria" w:hAnsi="Cambria" w:cs="Cambria"/>
          <w:sz w:val="32"/>
        </w:rPr>
        <w:t xml:space="preserve">TD 1 : Droit des TIC </w:t>
      </w:r>
    </w:p>
    <w:p w14:paraId="64D067BC" w14:textId="77777777" w:rsidR="004F2EF7" w:rsidRDefault="00922295">
      <w:pPr>
        <w:spacing w:after="40"/>
        <w:ind w:left="-30" w:right="-26"/>
      </w:pPr>
      <w:r>
        <w:rPr>
          <w:noProof/>
        </w:rPr>
        <w:lastRenderedPageBreak/>
        <mc:AlternateContent>
          <mc:Choice Requires="wpg">
            <w:drawing>
              <wp:inline distT="0" distB="0" distL="0" distR="0" wp14:anchorId="7CFC1993" wp14:editId="6E6E1808">
                <wp:extent cx="5800091" cy="57150"/>
                <wp:effectExtent l="0" t="0" r="0" b="0"/>
                <wp:docPr id="1773" name="Group 1773"/>
                <wp:cNvGraphicFramePr/>
                <a:graphic xmlns:a="http://schemas.openxmlformats.org/drawingml/2006/main">
                  <a:graphicData uri="http://schemas.microsoft.com/office/word/2010/wordprocessingGroup">
                    <wpg:wgp>
                      <wpg:cNvGrpSpPr/>
                      <wpg:grpSpPr>
                        <a:xfrm>
                          <a:off x="0" y="0"/>
                          <a:ext cx="5800091" cy="57150"/>
                          <a:chOff x="0" y="0"/>
                          <a:chExt cx="5800091" cy="57150"/>
                        </a:xfrm>
                      </wpg:grpSpPr>
                      <wps:wsp>
                        <wps:cNvPr id="2239" name="Shape 2239"/>
                        <wps:cNvSpPr/>
                        <wps:spPr>
                          <a:xfrm>
                            <a:off x="0" y="19050"/>
                            <a:ext cx="5800091" cy="38100"/>
                          </a:xfrm>
                          <a:custGeom>
                            <a:avLst/>
                            <a:gdLst/>
                            <a:ahLst/>
                            <a:cxnLst/>
                            <a:rect l="0" t="0" r="0" b="0"/>
                            <a:pathLst>
                              <a:path w="5800091" h="38100">
                                <a:moveTo>
                                  <a:pt x="0" y="0"/>
                                </a:moveTo>
                                <a:lnTo>
                                  <a:pt x="5800091" y="0"/>
                                </a:lnTo>
                                <a:lnTo>
                                  <a:pt x="580009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40" name="Shape 2240"/>
                        <wps:cNvSpPr/>
                        <wps:spPr>
                          <a:xfrm>
                            <a:off x="0" y="0"/>
                            <a:ext cx="5800091" cy="9525"/>
                          </a:xfrm>
                          <a:custGeom>
                            <a:avLst/>
                            <a:gdLst/>
                            <a:ahLst/>
                            <a:cxnLst/>
                            <a:rect l="0" t="0" r="0" b="0"/>
                            <a:pathLst>
                              <a:path w="5800091" h="9525">
                                <a:moveTo>
                                  <a:pt x="0" y="0"/>
                                </a:moveTo>
                                <a:lnTo>
                                  <a:pt x="5800091" y="0"/>
                                </a:lnTo>
                                <a:lnTo>
                                  <a:pt x="5800091"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1773" style="width:456.7pt;height:4.5pt;mso-position-horizontal-relative:char;mso-position-vertical-relative:line" coordsize="58000,571">
                <v:shape id="Shape 2241" style="position:absolute;width:58000;height:381;left:0;top:190;" coordsize="5800091,38100" path="m0,0l5800091,0l5800091,38100l0,38100l0,0">
                  <v:stroke weight="0pt" endcap="flat" joinstyle="miter" miterlimit="10" on="false" color="#000000" opacity="0"/>
                  <v:fill on="true" color="#622423"/>
                </v:shape>
                <v:shape id="Shape 2242" style="position:absolute;width:58000;height:95;left:0;top:0;" coordsize="5800091,9525" path="m0,0l5800091,0l5800091,9525l0,9525l0,0">
                  <v:stroke weight="0pt" endcap="flat" joinstyle="miter" miterlimit="10" on="false" color="#000000" opacity="0"/>
                  <v:fill on="true" color="#622423"/>
                </v:shape>
              </v:group>
            </w:pict>
          </mc:Fallback>
        </mc:AlternateContent>
      </w:r>
    </w:p>
    <w:p w14:paraId="2A288EBC" w14:textId="77777777" w:rsidR="004F2EF7" w:rsidRDefault="00922295">
      <w:pPr>
        <w:spacing w:after="0"/>
      </w:pPr>
      <w:r>
        <w:t xml:space="preserve"> </w:t>
      </w:r>
    </w:p>
    <w:p w14:paraId="70F88A4D" w14:textId="77777777" w:rsidR="004F2EF7" w:rsidRDefault="00922295">
      <w:pPr>
        <w:spacing w:after="280"/>
      </w:pPr>
      <w:r>
        <w:rPr>
          <w:b/>
        </w:rPr>
        <w:t xml:space="preserve"> </w:t>
      </w:r>
    </w:p>
    <w:p w14:paraId="09DE9B2B" w14:textId="77777777" w:rsidR="004F2EF7" w:rsidRDefault="00922295">
      <w:pPr>
        <w:spacing w:after="166"/>
        <w:ind w:left="-5" w:hanging="10"/>
      </w:pPr>
      <w:r>
        <w:rPr>
          <w:b/>
          <w:sz w:val="28"/>
        </w:rPr>
        <w:t xml:space="preserve">Situation 3 : Adhésion à Twitter  </w:t>
      </w:r>
    </w:p>
    <w:p w14:paraId="2E577CB3" w14:textId="58E333C0" w:rsidR="007A0EF0" w:rsidRDefault="007A0EF0">
      <w:pPr>
        <w:spacing w:after="129"/>
      </w:pPr>
    </w:p>
    <w:p w14:paraId="08EA1007" w14:textId="77777777" w:rsidR="004F2EF7" w:rsidRDefault="00922295">
      <w:pPr>
        <w:numPr>
          <w:ilvl w:val="0"/>
          <w:numId w:val="3"/>
        </w:numPr>
        <w:spacing w:after="0" w:line="249" w:lineRule="auto"/>
        <w:ind w:hanging="360"/>
      </w:pPr>
      <w:r>
        <w:t xml:space="preserve">Pour avoir un compte Twitter, il faut adhérer au service et signer un contrat. </w:t>
      </w:r>
    </w:p>
    <w:p w14:paraId="06EDFC3E" w14:textId="72F288DF" w:rsidR="006D7E70" w:rsidRDefault="00922295">
      <w:pPr>
        <w:spacing w:after="0" w:line="249" w:lineRule="auto"/>
        <w:ind w:left="1081" w:right="725"/>
      </w:pPr>
      <w:r>
        <w:rPr>
          <w:rFonts w:ascii="Courier New" w:eastAsia="Courier New" w:hAnsi="Courier New" w:cs="Courier New"/>
        </w:rPr>
        <w:t>o</w:t>
      </w:r>
      <w:r>
        <w:rPr>
          <w:rFonts w:ascii="Arial" w:eastAsia="Arial" w:hAnsi="Arial" w:cs="Arial"/>
        </w:rPr>
        <w:t xml:space="preserve"> </w:t>
      </w:r>
      <w:r>
        <w:t>Quel est ce contrat ?</w:t>
      </w:r>
    </w:p>
    <w:p w14:paraId="5D79D59C" w14:textId="4174E78D" w:rsidR="006D7E70" w:rsidRDefault="006D7E70">
      <w:pPr>
        <w:spacing w:after="0" w:line="249" w:lineRule="auto"/>
        <w:ind w:left="1081" w:right="725"/>
        <w:rPr>
          <w:color w:val="4472C4" w:themeColor="accent1"/>
        </w:rPr>
      </w:pPr>
      <w:r>
        <w:rPr>
          <w:color w:val="4472C4" w:themeColor="accent1"/>
        </w:rPr>
        <w:t>Contrat d’utilisation de Twitter.</w:t>
      </w:r>
    </w:p>
    <w:p w14:paraId="3CE3DCC5" w14:textId="685C4988" w:rsidR="009E71C1" w:rsidRPr="006D7E70" w:rsidRDefault="009E71C1">
      <w:pPr>
        <w:spacing w:after="0" w:line="249" w:lineRule="auto"/>
        <w:ind w:left="1081" w:right="725"/>
        <w:rPr>
          <w:color w:val="4472C4" w:themeColor="accent1"/>
        </w:rPr>
      </w:pPr>
      <w:r>
        <w:rPr>
          <w:color w:val="4472C4" w:themeColor="accent1"/>
        </w:rPr>
        <w:t>B2C : Business To Consumer</w:t>
      </w:r>
    </w:p>
    <w:p w14:paraId="1675A274" w14:textId="5034715E" w:rsidR="004F2EF7" w:rsidRDefault="00922295">
      <w:pPr>
        <w:spacing w:after="0" w:line="249" w:lineRule="auto"/>
        <w:ind w:left="1081" w:right="725"/>
      </w:pPr>
      <w:r>
        <w:rPr>
          <w:rFonts w:ascii="Courier New" w:eastAsia="Courier New" w:hAnsi="Courier New" w:cs="Courier New"/>
        </w:rPr>
        <w:t>o</w:t>
      </w:r>
      <w:r>
        <w:rPr>
          <w:rFonts w:ascii="Arial" w:eastAsia="Arial" w:hAnsi="Arial" w:cs="Arial"/>
        </w:rPr>
        <w:t xml:space="preserve"> </w:t>
      </w:r>
      <w:r>
        <w:t xml:space="preserve">Quelle législation s’appliquera si vous adhérez en tant que particulier, en tant qu’entreprise ? </w:t>
      </w:r>
    </w:p>
    <w:p w14:paraId="39E601AD" w14:textId="77777777" w:rsidR="004F2EF7" w:rsidRDefault="00922295">
      <w:pPr>
        <w:spacing w:after="14"/>
        <w:ind w:left="1441"/>
      </w:pPr>
      <w:r>
        <w:t xml:space="preserve"> </w:t>
      </w:r>
    </w:p>
    <w:p w14:paraId="47DB12E7" w14:textId="46FB482F" w:rsidR="004F2EF7" w:rsidRDefault="00922295">
      <w:pPr>
        <w:numPr>
          <w:ilvl w:val="0"/>
          <w:numId w:val="3"/>
        </w:numPr>
        <w:spacing w:after="2" w:line="239" w:lineRule="auto"/>
        <w:ind w:hanging="360"/>
      </w:pPr>
      <w:r>
        <w:t xml:space="preserve">S’agit-il d’un contrat à titre gratuit ou à titre onéreux ? Justifiez en vous référant à l’article du code civil  </w:t>
      </w:r>
    </w:p>
    <w:p w14:paraId="79EA16BF" w14:textId="22FFD542" w:rsidR="006D7E70" w:rsidRDefault="006D7E70" w:rsidP="006D7E70">
      <w:pPr>
        <w:spacing w:after="2" w:line="239" w:lineRule="auto"/>
        <w:ind w:left="706"/>
        <w:rPr>
          <w:color w:val="4472C4" w:themeColor="accent1"/>
        </w:rPr>
      </w:pPr>
      <w:r>
        <w:rPr>
          <w:color w:val="4472C4" w:themeColor="accent1"/>
        </w:rPr>
        <w:t xml:space="preserve">Contrat à titre </w:t>
      </w:r>
      <w:r w:rsidR="009E71C1">
        <w:rPr>
          <w:color w:val="4472C4" w:themeColor="accent1"/>
        </w:rPr>
        <w:t>onéreux</w:t>
      </w:r>
    </w:p>
    <w:p w14:paraId="4BA506C3" w14:textId="7CE4F071" w:rsidR="009E71C1" w:rsidRDefault="009E71C1" w:rsidP="006D7E70">
      <w:pPr>
        <w:spacing w:after="2" w:line="239" w:lineRule="auto"/>
        <w:ind w:left="706"/>
        <w:rPr>
          <w:color w:val="4472C4" w:themeColor="accent1"/>
        </w:rPr>
      </w:pPr>
      <w:r>
        <w:rPr>
          <w:color w:val="4472C4" w:themeColor="accent1"/>
        </w:rPr>
        <w:t>Article 1107 du code civil</w:t>
      </w:r>
    </w:p>
    <w:p w14:paraId="75E926D1" w14:textId="27B6CF91" w:rsidR="009E71C1" w:rsidRPr="006D7E70" w:rsidRDefault="009E71C1" w:rsidP="006D7E70">
      <w:pPr>
        <w:spacing w:after="2" w:line="239" w:lineRule="auto"/>
        <w:ind w:left="706"/>
        <w:rPr>
          <w:color w:val="4472C4" w:themeColor="accent1"/>
        </w:rPr>
      </w:pPr>
      <w:r>
        <w:rPr>
          <w:color w:val="4472C4" w:themeColor="accent1"/>
        </w:rPr>
        <w:t>Onéreux car contrepartie à la prestation, utilisation de la plateforme en échange de données personnelles.</w:t>
      </w:r>
    </w:p>
    <w:p w14:paraId="3A710594" w14:textId="77777777" w:rsidR="004F2EF7" w:rsidRDefault="00922295">
      <w:pPr>
        <w:spacing w:after="14"/>
        <w:ind w:left="721"/>
      </w:pPr>
      <w:r>
        <w:t xml:space="preserve"> </w:t>
      </w:r>
    </w:p>
    <w:p w14:paraId="1CEFDA8E" w14:textId="63B61BD9" w:rsidR="004F2EF7" w:rsidRDefault="00922295">
      <w:pPr>
        <w:numPr>
          <w:ilvl w:val="0"/>
          <w:numId w:val="3"/>
        </w:numPr>
        <w:spacing w:after="0" w:line="249" w:lineRule="auto"/>
        <w:ind w:hanging="360"/>
      </w:pPr>
      <w:r>
        <w:t>Quelle</w:t>
      </w:r>
      <w:r w:rsidR="006D7E70">
        <w:t xml:space="preserve"> </w:t>
      </w:r>
      <w:r>
        <w:t xml:space="preserve">est la nature des données que vous déposez (en tant que particulier) lorsque vous accédez à la plate-forme ? donnez des exemples  </w:t>
      </w:r>
    </w:p>
    <w:p w14:paraId="5C573A1C" w14:textId="06940A05" w:rsidR="00FA749C" w:rsidRDefault="00FA749C" w:rsidP="00FA749C">
      <w:pPr>
        <w:spacing w:after="0" w:line="249" w:lineRule="auto"/>
        <w:ind w:left="706"/>
        <w:rPr>
          <w:color w:val="4472C4" w:themeColor="accent1"/>
        </w:rPr>
      </w:pPr>
      <w:r>
        <w:rPr>
          <w:color w:val="4472C4" w:themeColor="accent1"/>
        </w:rPr>
        <w:t>Les données déposées en tant que particulier lors de l’accès à la plateforme sont de nature</w:t>
      </w:r>
      <w:r w:rsidR="009E71C1">
        <w:rPr>
          <w:color w:val="4472C4" w:themeColor="accent1"/>
        </w:rPr>
        <w:t>s</w:t>
      </w:r>
      <w:r>
        <w:rPr>
          <w:color w:val="4472C4" w:themeColor="accent1"/>
        </w:rPr>
        <w:t xml:space="preserve"> personnelle</w:t>
      </w:r>
      <w:r w:rsidR="009E71C1">
        <w:rPr>
          <w:color w:val="4472C4" w:themeColor="accent1"/>
        </w:rPr>
        <w:t>s</w:t>
      </w:r>
      <w:r>
        <w:rPr>
          <w:color w:val="4472C4" w:themeColor="accent1"/>
        </w:rPr>
        <w:t>. Tel que le numéro de téléphone, la date de naissance…</w:t>
      </w:r>
    </w:p>
    <w:p w14:paraId="78511C8F" w14:textId="0D4CC772" w:rsidR="00865744" w:rsidRPr="00FA749C" w:rsidRDefault="00865744" w:rsidP="00FA749C">
      <w:pPr>
        <w:spacing w:after="0" w:line="249" w:lineRule="auto"/>
        <w:ind w:left="706"/>
        <w:rPr>
          <w:color w:val="4472C4" w:themeColor="accent1"/>
        </w:rPr>
      </w:pPr>
      <w:r>
        <w:rPr>
          <w:color w:val="4472C4" w:themeColor="accent1"/>
        </w:rPr>
        <w:t>Droits d’auteurs aussi.</w:t>
      </w:r>
    </w:p>
    <w:p w14:paraId="38A0409E" w14:textId="77777777" w:rsidR="004F2EF7" w:rsidRDefault="00922295">
      <w:pPr>
        <w:spacing w:after="49"/>
        <w:ind w:left="721"/>
      </w:pPr>
      <w:r>
        <w:t xml:space="preserve"> </w:t>
      </w:r>
    </w:p>
    <w:p w14:paraId="76DBCEBA" w14:textId="62B4D09D" w:rsidR="004F2EF7" w:rsidRDefault="00922295">
      <w:pPr>
        <w:numPr>
          <w:ilvl w:val="0"/>
          <w:numId w:val="3"/>
        </w:numPr>
        <w:spacing w:after="0" w:line="249" w:lineRule="auto"/>
        <w:ind w:hanging="360"/>
      </w:pPr>
      <w:r>
        <w:t xml:space="preserve">Quelle est la protection de ces données ? est-ce que la loi « informatique et libertés » doit s’appliquer ? Recherchez les nouveautés apportées par le RGPD.  </w:t>
      </w:r>
    </w:p>
    <w:p w14:paraId="4DB4130A" w14:textId="7A44864D" w:rsidR="00FA749C" w:rsidRDefault="00865744" w:rsidP="00FA749C">
      <w:pPr>
        <w:spacing w:after="0" w:line="249" w:lineRule="auto"/>
        <w:ind w:left="706"/>
        <w:rPr>
          <w:color w:val="4472C4" w:themeColor="accent1"/>
        </w:rPr>
      </w:pPr>
      <w:r>
        <w:rPr>
          <w:color w:val="4472C4" w:themeColor="accent1"/>
        </w:rPr>
        <w:t>Les données personnelles sont protégées par le RGPD (« Règlement Général sur la Protection des données »), l</w:t>
      </w:r>
      <w:r w:rsidR="00FA749C" w:rsidRPr="00FA749C">
        <w:rPr>
          <w:color w:val="4472C4" w:themeColor="accent1"/>
        </w:rPr>
        <w:t xml:space="preserve">a loi « informatique et libertés » doit </w:t>
      </w:r>
      <w:r>
        <w:rPr>
          <w:color w:val="4472C4" w:themeColor="accent1"/>
        </w:rPr>
        <w:t xml:space="preserve">aussi </w:t>
      </w:r>
      <w:r w:rsidR="00FA749C" w:rsidRPr="00FA749C">
        <w:rPr>
          <w:color w:val="4472C4" w:themeColor="accent1"/>
        </w:rPr>
        <w:t>appliquer.</w:t>
      </w:r>
    </w:p>
    <w:p w14:paraId="31E14477" w14:textId="5FC0E81B" w:rsidR="0017597B" w:rsidRPr="00FA749C" w:rsidRDefault="0017597B" w:rsidP="00FA749C">
      <w:pPr>
        <w:spacing w:after="0" w:line="249" w:lineRule="auto"/>
        <w:ind w:left="706"/>
        <w:rPr>
          <w:color w:val="4472C4" w:themeColor="accent1"/>
        </w:rPr>
      </w:pPr>
      <w:r>
        <w:rPr>
          <w:color w:val="4472C4" w:themeColor="accent1"/>
        </w:rPr>
        <w:t>Droit à l’oubli, droit d’opposition…</w:t>
      </w:r>
    </w:p>
    <w:p w14:paraId="6996B3E6" w14:textId="77777777" w:rsidR="004F2EF7" w:rsidRDefault="00922295">
      <w:pPr>
        <w:spacing w:after="49"/>
        <w:ind w:left="721"/>
      </w:pPr>
      <w:r>
        <w:t xml:space="preserve"> </w:t>
      </w:r>
    </w:p>
    <w:p w14:paraId="558061FC" w14:textId="69519FD9" w:rsidR="004F2EF7" w:rsidRDefault="00922295">
      <w:pPr>
        <w:numPr>
          <w:ilvl w:val="0"/>
          <w:numId w:val="3"/>
        </w:numPr>
        <w:spacing w:after="0" w:line="249" w:lineRule="auto"/>
        <w:ind w:hanging="360"/>
      </w:pPr>
      <w:r>
        <w:t xml:space="preserve">Pouvez-vous (toujours en tant que particulier)  bénéficier des dispositions relatives aux clauses abusives ? en est-il de même pour une entreprise ? </w:t>
      </w:r>
    </w:p>
    <w:p w14:paraId="7B6E312E" w14:textId="0635C149" w:rsidR="00865744" w:rsidRPr="009E5BCD" w:rsidRDefault="009E5BCD" w:rsidP="00865744">
      <w:pPr>
        <w:spacing w:after="0" w:line="249" w:lineRule="auto"/>
        <w:ind w:left="706"/>
        <w:rPr>
          <w:color w:val="4472C4" w:themeColor="accent1"/>
        </w:rPr>
      </w:pPr>
      <w:r>
        <w:rPr>
          <w:color w:val="4472C4" w:themeColor="accent1"/>
        </w:rPr>
        <w:t>En tant que particulier on peut bénéficier des dispositions relatives aux clauses abusives.</w:t>
      </w:r>
      <w:r>
        <w:rPr>
          <w:color w:val="4472C4" w:themeColor="accent1"/>
        </w:rPr>
        <w:br/>
      </w:r>
      <w:r w:rsidR="0017597B">
        <w:rPr>
          <w:color w:val="4472C4" w:themeColor="accent1"/>
        </w:rPr>
        <w:t>En revanche</w:t>
      </w:r>
      <w:r>
        <w:rPr>
          <w:color w:val="4472C4" w:themeColor="accent1"/>
        </w:rPr>
        <w:t>, les dispositions relatives aux clauses abusives pour le particulier ne sont pas applicables dès lors qu’un contrat a été conclu entre professionnels.</w:t>
      </w:r>
    </w:p>
    <w:p w14:paraId="393BDBCF" w14:textId="77777777" w:rsidR="004F2EF7" w:rsidRDefault="00922295">
      <w:pPr>
        <w:spacing w:after="49"/>
        <w:ind w:left="721"/>
      </w:pPr>
      <w:r>
        <w:t xml:space="preserve"> </w:t>
      </w:r>
    </w:p>
    <w:p w14:paraId="486C772E" w14:textId="77777777" w:rsidR="004F2EF7" w:rsidRDefault="00922295">
      <w:pPr>
        <w:numPr>
          <w:ilvl w:val="0"/>
          <w:numId w:val="3"/>
        </w:numPr>
        <w:spacing w:after="2" w:line="239" w:lineRule="auto"/>
        <w:ind w:hanging="360"/>
      </w:pPr>
      <w:r>
        <w:t xml:space="preserve">Relevez dans les conditions générales d’utilisation de Twitter des clauses qui vous semblent abusives.  </w:t>
      </w:r>
    </w:p>
    <w:p w14:paraId="0424F788" w14:textId="77777777" w:rsidR="004F2EF7" w:rsidRDefault="00922295">
      <w:pPr>
        <w:spacing w:after="54"/>
        <w:ind w:left="721"/>
      </w:pPr>
      <w:r>
        <w:t xml:space="preserve"> </w:t>
      </w:r>
    </w:p>
    <w:p w14:paraId="1EF99936" w14:textId="3F3AC0EC" w:rsidR="005B79C8" w:rsidRDefault="00922295" w:rsidP="007A0EF0">
      <w:pPr>
        <w:numPr>
          <w:ilvl w:val="0"/>
          <w:numId w:val="3"/>
        </w:numPr>
        <w:spacing w:after="0" w:line="249" w:lineRule="auto"/>
        <w:ind w:hanging="360"/>
      </w:pPr>
      <w:r>
        <w:t xml:space="preserve">Présentez le régime de responsabilité auquel est soumis Twitter ? vous pouvez vous appuyer sur la jurisprudence. </w:t>
      </w:r>
    </w:p>
    <w:sectPr w:rsidR="005B79C8">
      <w:pgSz w:w="11905" w:h="16840"/>
      <w:pgMar w:top="767" w:right="1411" w:bottom="712"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168C0"/>
    <w:multiLevelType w:val="hybridMultilevel"/>
    <w:tmpl w:val="EC2033D4"/>
    <w:lvl w:ilvl="0" w:tplc="E3503926">
      <w:numFmt w:val="bullet"/>
      <w:lvlText w:val=""/>
      <w:lvlJc w:val="left"/>
      <w:pPr>
        <w:ind w:left="720" w:hanging="360"/>
      </w:pPr>
      <w:rPr>
        <w:rFonts w:ascii="Wingdings" w:eastAsia="Calibri" w:hAnsi="Wingdings"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A04B0B"/>
    <w:multiLevelType w:val="hybridMultilevel"/>
    <w:tmpl w:val="5AD28380"/>
    <w:lvl w:ilvl="0" w:tplc="58C4AB88">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78FDD0">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DC6C5C">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A2A756">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0829DC">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30AA86">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84654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B4CD78">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0E8770">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B756B4C"/>
    <w:multiLevelType w:val="hybridMultilevel"/>
    <w:tmpl w:val="29224D1E"/>
    <w:lvl w:ilvl="0" w:tplc="00285106">
      <w:start w:val="1"/>
      <w:numFmt w:val="bullet"/>
      <w:lvlText w:val="-"/>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1EDFA8">
      <w:start w:val="1"/>
      <w:numFmt w:val="bullet"/>
      <w:lvlText w:val="o"/>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882DCE">
      <w:start w:val="1"/>
      <w:numFmt w:val="bullet"/>
      <w:lvlText w:val="▪"/>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2A3578">
      <w:start w:val="1"/>
      <w:numFmt w:val="bullet"/>
      <w:lvlText w:val="•"/>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367AAC">
      <w:start w:val="1"/>
      <w:numFmt w:val="bullet"/>
      <w:lvlText w:val="o"/>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EC5488">
      <w:start w:val="1"/>
      <w:numFmt w:val="bullet"/>
      <w:lvlText w:val="▪"/>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645A74">
      <w:start w:val="1"/>
      <w:numFmt w:val="bullet"/>
      <w:lvlText w:val="•"/>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7CC16E">
      <w:start w:val="1"/>
      <w:numFmt w:val="bullet"/>
      <w:lvlText w:val="o"/>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CC87C2">
      <w:start w:val="1"/>
      <w:numFmt w:val="bullet"/>
      <w:lvlText w:val="▪"/>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06A0769"/>
    <w:multiLevelType w:val="hybridMultilevel"/>
    <w:tmpl w:val="E3F24E28"/>
    <w:lvl w:ilvl="0" w:tplc="D53CE11A">
      <w:start w:val="1"/>
      <w:numFmt w:val="decimal"/>
      <w:lvlText w:val="%1."/>
      <w:lvlJc w:val="left"/>
      <w:pPr>
        <w:ind w:left="70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7F23D84">
      <w:start w:val="1"/>
      <w:numFmt w:val="lowerLetter"/>
      <w:lvlText w:val="%2"/>
      <w:lvlJc w:val="left"/>
      <w:pPr>
        <w:ind w:left="14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5465E2A">
      <w:start w:val="1"/>
      <w:numFmt w:val="lowerRoman"/>
      <w:lvlText w:val="%3"/>
      <w:lvlJc w:val="left"/>
      <w:pPr>
        <w:ind w:left="21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CB4222CC">
      <w:start w:val="1"/>
      <w:numFmt w:val="decimal"/>
      <w:lvlText w:val="%4"/>
      <w:lvlJc w:val="left"/>
      <w:pPr>
        <w:ind w:left="28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8F86514">
      <w:start w:val="1"/>
      <w:numFmt w:val="lowerLetter"/>
      <w:lvlText w:val="%5"/>
      <w:lvlJc w:val="left"/>
      <w:pPr>
        <w:ind w:left="36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2860686A">
      <w:start w:val="1"/>
      <w:numFmt w:val="lowerRoman"/>
      <w:lvlText w:val="%6"/>
      <w:lvlJc w:val="left"/>
      <w:pPr>
        <w:ind w:left="43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60899A0">
      <w:start w:val="1"/>
      <w:numFmt w:val="decimal"/>
      <w:lvlText w:val="%7"/>
      <w:lvlJc w:val="left"/>
      <w:pPr>
        <w:ind w:left="50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7C61B5A">
      <w:start w:val="1"/>
      <w:numFmt w:val="lowerLetter"/>
      <w:lvlText w:val="%8"/>
      <w:lvlJc w:val="left"/>
      <w:pPr>
        <w:ind w:left="57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E9861B8">
      <w:start w:val="1"/>
      <w:numFmt w:val="lowerRoman"/>
      <w:lvlText w:val="%9"/>
      <w:lvlJc w:val="left"/>
      <w:pPr>
        <w:ind w:left="64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EF7"/>
    <w:rsid w:val="0017597B"/>
    <w:rsid w:val="002B09FF"/>
    <w:rsid w:val="003E141F"/>
    <w:rsid w:val="004D086D"/>
    <w:rsid w:val="004F2EF7"/>
    <w:rsid w:val="00564129"/>
    <w:rsid w:val="005B79C8"/>
    <w:rsid w:val="005E2C1D"/>
    <w:rsid w:val="006D7E70"/>
    <w:rsid w:val="007363B7"/>
    <w:rsid w:val="00746E46"/>
    <w:rsid w:val="007A0EF0"/>
    <w:rsid w:val="008066CC"/>
    <w:rsid w:val="00865744"/>
    <w:rsid w:val="00922295"/>
    <w:rsid w:val="009E5BCD"/>
    <w:rsid w:val="009E71C1"/>
    <w:rsid w:val="009F018F"/>
    <w:rsid w:val="00B05556"/>
    <w:rsid w:val="00BF7575"/>
    <w:rsid w:val="00D52851"/>
    <w:rsid w:val="00D80AC3"/>
    <w:rsid w:val="00E201AA"/>
    <w:rsid w:val="00E34731"/>
    <w:rsid w:val="00F12CDC"/>
    <w:rsid w:val="00FA74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7BF2D"/>
  <w15:docId w15:val="{ACAEFAC6-EA08-41DB-8F91-8BE53EF3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166"/>
      <w:outlineLvl w:val="0"/>
    </w:pPr>
    <w:rPr>
      <w:rFonts w:ascii="Calibri" w:eastAsia="Calibri" w:hAnsi="Calibri" w:cs="Calibri"/>
      <w:b/>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28"/>
    </w:rPr>
  </w:style>
  <w:style w:type="paragraph" w:styleId="Paragraphedeliste">
    <w:name w:val="List Paragraph"/>
    <w:basedOn w:val="Normal"/>
    <w:uiPriority w:val="34"/>
    <w:qFormat/>
    <w:rsid w:val="005E2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997</Words>
  <Characters>5484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TD 1 : Droit des TIC</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 1 : Droit des TIC</dc:title>
  <dc:subject/>
  <dc:creator>THAL Eliane</dc:creator>
  <cp:keywords/>
  <cp:lastModifiedBy>Kellian GOFFIC</cp:lastModifiedBy>
  <cp:revision>14</cp:revision>
  <dcterms:created xsi:type="dcterms:W3CDTF">2020-09-17T06:56:00Z</dcterms:created>
  <dcterms:modified xsi:type="dcterms:W3CDTF">2020-10-08T08:19:00Z</dcterms:modified>
</cp:coreProperties>
</file>