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</w:t>
      </w:r>
      <w:r w:rsidR="006871FB">
        <w:t>fragments statiques</w:t>
      </w:r>
      <w:r w:rsidR="00074920">
        <w:t xml:space="preserve"> avec un </w:t>
      </w:r>
      <w:r w:rsidR="00074920">
        <w:fldChar w:fldCharType="begin"/>
      </w:r>
      <w:r w:rsidR="00074920">
        <w:instrText xml:space="preserve"> champ </w:instrText>
      </w:r>
      <w:r w:rsidR="00074920">
        <w:fldChar w:fldCharType="end"/>
      </w:r>
      <w:r w:rsidR="00074920">
        <w:t xml:space="preserve"> pour voir s’ils sont préservés</w:t>
      </w:r>
      <w:r w:rsidR="006871FB">
        <w:t>.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74920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71F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2016-02-21T20:05:00Z</dcterms:modified>
  <cp:revision>27</cp:revision>
</cp:coreProperties>
</file>