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false"/>
            <w:i w:val="false"/>
            <w:strike w:val="false"/>
            <w:color w:val="0000ff"/>
          </w:rPr>
          <w:t>REC - Unit Network Adapter</w:t>
        </w:r>
      </w:hyperlink>
      <w:r w:rsidR="008B76C9">
        <w:rPr>
          <w:b w:val="false"/>
          <w:i w:val="false"/>
          <w:strike w:val="false"/>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false"/>
            <w:i w:val="false"/>
            <w:strike w:val="false"/>
            <w:color w:val="0000ff"/>
          </w:rPr>
          <w:t>RPL - Instantiations of Unit Network Adapter</w:t>
        </w:r>
      </w:hyperlink>
      <w:r w:rsidR="008B76C9">
        <w:rPr>
          <w:b w:val="false"/>
          <w:i w:val="false"/>
          <w:strike w:val="false"/>
        </w:rPr>
        <w:t xml:space="preserve"> describes the three RPLs (replicas). </w:t>
      </w:r>
    </w:p>
    <w:p w:rsidR="00C52979" w:rsidRDefault="00C52979" w:rsidP="00F5495F">
      <w:pPr>
        <w:numPr>
          <w:ilvl w:val="1"/>
          <w:numId w:val="9"/>
        </w:numPr>
      </w:pPr>
      <w:bookmarkStart w:id="0" w:name="_GoBack"/>
      <w:bookmarkEnd w:id="0"/>
      <w:r w:rsidR="008B76C9">
        <w:rPr>
          <w:b w:val="false"/>
          <w:i w:val="false"/>
          <w:strike w:val="false"/>
        </w:rPr>
        <w:t xml:space="preserve"> The connection between RPLs is detailed in </w:t>
      </w:r>
      <w:hyperlink r:id="rId50">
        <w:r w:rsidR="008B76C9">
          <w:rPr>
            <w:b w:val="false"/>
            <w:i w:val="false"/>
            <w:strike w:val="false"/>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