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FE3952">
      <w:pPr>
        <w:widowControl w:val="0"/>
        <w:adjustRightInd w:val="0"/>
        <w:rPr>
          <w:sz w:val="24"/>
          <w:szCs w:val="24"/>
          <w:lang w:val="en-US"/>
        </w:rPr>
      </w:pPr>
      <w:r w:rsidRPr="00FE3952">
        <w:rPr>
          <w:sz w:val="24"/>
          <w:szCs w:val="24"/>
          <w:lang w:val="en-US"/>
        </w:rPr>
        <w:t xml:space="preserve">This demonstrate the simple usage of </w:t>
      </w:r>
      <w:r w:rsidR="009B6BD9" w:rsidRPr="00FE3952">
        <w:rPr>
          <w:sz w:val="24"/>
          <w:szCs w:val="24"/>
          <w:lang w:val="en-US"/>
        </w:rPr>
        <w:t>as</w:t>
      </w:r>
      <w:r w:rsidR="006831AE" w:rsidRPr="00FE3952">
        <w:rPr>
          <w:sz w:val="24"/>
          <w:szCs w:val="24"/>
          <w:lang w:val="en-US"/>
        </w:rPr>
        <w:t>Table</w:t>
      </w:r>
      <w:r w:rsidR="009B6BD9" w:rsidRPr="00FE3952">
        <w:rPr>
          <w:sz w:val="24"/>
          <w:szCs w:val="24"/>
          <w:lang w:val="en-US"/>
        </w:rPr>
        <w:t>ByRepresentationName</w:t>
      </w:r>
      <w:r w:rsidR="00C53443" w:rsidRPr="00FE3952">
        <w:rPr>
          <w:sz w:val="24"/>
          <w:szCs w:val="24"/>
          <w:lang w:val="en-US"/>
        </w:rPr>
        <w:t xml:space="preserve"> service</w:t>
      </w:r>
      <w:r w:rsidRPr="00FE3952">
        <w:rPr>
          <w:sz w:val="24"/>
          <w:szCs w:val="24"/>
          <w:lang w:val="en-US"/>
        </w:rPr>
        <w:t> :</w:t>
      </w:r>
    </w:p>
    <w:p w:rsidP="00340939" w:rsidR="002C598E" w:rsidRDefault="002C598E" w:rsidRPr="00FE395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FE3952">
        <w:rPr>
          <w:sz w:val="24"/>
          <w:szCs w:val="24"/>
        </w:rPr>
        <w:instrText>not existing table</w:instrText>
      </w:r>
      <w:bookmarkStart w:id="0" w:name="_GoBack"/>
      <w:bookmarkEnd w:id="0"/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E3952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2AACA-1E93-41DA-851F-A7E3EED54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2018-09-21T14:19:00Z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