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proofErr w:type="spellStart"/>
      <w:proofErr w:type="spellEnd"/>
      <w:r>
        <w:t xml:space="preserve">Documentation </w:t>
      </w:r>
      <w:r w:rsidR="005F2B62">
        <w:t xml:space="preserve">de la syntaxe de </w:t>
      </w:r>
      <w:r w:rsidR="005F2B62">
        <w:t>WGen</w:t>
      </w:r>
    </w:p>
    <w:p w:rsidR="005B799E" w:rsidRDefault="005B799E" w:rsidP="000921CB">
      <w:pPr>
        <w:rPr>
          <w:b/>
        </w:rPr>
      </w:pPr>
      <w:proofErr w:type="spellStart"/>
      <w:proofErr w:type="spellEnd"/>
      <w:proofErr w:type="spellStart"/>
      <w:proofErr w:type="spellEnd"/>
      <w:r w:rsidRPr="000645E6">
        <w:rPr>
          <w:b/>
        </w:rPr>
        <w:t>Description:</w:t>
      </w:r>
      <w:r w:rsidR="000921CB">
        <w:rPr>
          <w:b/>
        </w:rPr>
        <w:t xml:space="preserve"> </w:t>
      </w:r>
      <w:r w:rsidR="000921CB">
        <w:t xml:space="preserve">Documentation de la syntaxe des </w:t>
      </w:r>
      <w:r w:rsidR="000921CB">
        <w:t>templates</w:t>
      </w:r>
      <w:r w:rsidR="000921CB">
        <w:t xml:space="preserve"> </w:t>
      </w:r>
      <w:r w:rsidR="000921CB">
        <w:t>WGen</w:t>
      </w:r>
    </w:p>
    <w:p w:rsidR="00E6199E" w:rsidRDefault="00EF7F15" w:rsidP="00E6199E">
      <w:pPr>
        <w:pStyle w:val="Titre1"/>
        <w:numPr>
          <w:ilvl w:val="0"/>
          <w:numId w:val="1"/>
        </w:numPr>
      </w:pPr>
      <w:r>
        <w:t>Syntaxe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4"/>
        <w:gridCol w:w="2905"/>
        <w:gridCol w:w="3309"/>
      </w:tblGrid>
      <w:tr w:rsidR="002005F9" w:rsidTr="002005F9">
        <w:tc>
          <w:tcPr>
            <w:tcW w:w="3074" w:type="dxa"/>
            <w:shd w:val="clear" w:color="auto" w:fill="95B3D7" w:themeFill="accent1" w:themeFillTint="99"/>
          </w:tcPr>
          <w:p w:rsidR="002005F9" w:rsidRPr="00E6199E" w:rsidRDefault="002005F9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2905" w:type="dxa"/>
            <w:shd w:val="clear" w:color="auto" w:fill="95B3D7" w:themeFill="accent1" w:themeFillTint="99"/>
          </w:tcPr>
          <w:p w:rsidR="002005F9" w:rsidRPr="00E6199E" w:rsidRDefault="002005F9" w:rsidP="00E6199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Syntaxe</w:t>
            </w:r>
          </w:p>
        </w:tc>
        <w:tc>
          <w:tcPr>
            <w:tcW w:w="3309" w:type="dxa"/>
            <w:shd w:val="clear" w:color="auto" w:fill="95B3D7" w:themeFill="accent1" w:themeFillTint="99"/>
          </w:tcPr>
          <w:p w:rsidR="002005F9" w:rsidRPr="00E6199E" w:rsidRDefault="002005F9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7123A" w:rsidTr="00A7123A">
        <w:tc>
          <w:tcPr>
            <w:tcW w:w="3096" w:type="dxa"/>
          </w:tcPr>
          <w:p w:rsidR="00A7123A" w:rsidRDefault="00A7123A" w:rsidP="00E6199E">
            <w:r>
              <w:t>Conditionnal</w:t>
            </w:r>
          </w:p>
        </w:tc>
        <w:tc>
          <w:tcPr>
            <w:tcW w:w="3096" w:type="dxa"/>
          </w:tcPr>
          <w:p w:rsidR="00A7123A" w:rsidRDefault="00A7123A" w:rsidP="00611F2E">
            <w:bookmarkStart w:id="0" w:name="_GoBack"/>
            <w:bookmarkEnd w:id="0"/>
            <w:r w:rsidRPr="00735965">
              <w:rPr>
                <w:b/>
                <w:i/>
              </w:rPr>
              <w:t>{gd:if expr} runs1 [{gd:elseif &lt;expr&gt;} runs_n]* [{gd:else} run_else]{gd:endif}</w:t>
            </w:r>
          </w:p>
        </w:tc>
        <w:tc>
          <w:tcPr>
            <w:tcW w:w="3096" w:type="dxa"/>
          </w:tcPr>
          <w:p w:rsidR="00A7123A" w:rsidRDefault="00A7123A" w:rsidP="009576ED">
            <w:r>
              <w:t>Si l'expression expr est évaluée à true dans le contexte courant alors l'ensemble de la balise jusqu'à la balise gd:endif comprisee est remplacée par le traitement de runs1 dans le contexte courant. Sinon, l'ensemble des balises est remplacée par le traitement du premier run_n tel que l'expression expr de la balise gd:elseif associée est évaluée à vrai. Si aucune telle balise n'est présente ou si aucune d'entre-elle porte une expression évaluée à true, le résultat du traitement de run_else, si la balise gd:else est présente, dans le contexte courant est inséré à la place de l'ensemble des balises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7123A" w:rsidTr="00A7123A">
        <w:tc>
          <w:tcPr>
            <w:tcW w:w="3096" w:type="dxa"/>
          </w:tcPr>
          <w:p w:rsidR="00A7123A" w:rsidRDefault="00A7123A" w:rsidP="00E6199E">
            <w:r>
              <w:t>Repetition</w:t>
            </w:r>
          </w:p>
        </w:tc>
        <w:tc>
          <w:tcPr>
            <w:tcW w:w="3096" w:type="dxa"/>
          </w:tcPr>
          <w:p w:rsidR="00A7123A" w:rsidRDefault="00A7123A" w:rsidP="00611F2E">
            <w:bookmarkStart w:id="0" w:name="_GoBack"/>
            <w:bookmarkEnd w:id="0"/>
            <w:r w:rsidRPr="00735965">
              <w:rPr>
                <w:b/>
                <w:i/>
              </w:rPr>
              <w:t>{gd:for var | query} body {gd:endfor}</w:t>
            </w:r>
          </w:p>
        </w:tc>
        <w:tc>
          <w:tcPr>
            <w:tcW w:w="3096" w:type="dxa"/>
          </w:tcPr>
          <w:p w:rsidR="00A7123A" w:rsidRDefault="00A7123A" w:rsidP="009576ED">
            <w:r>
              <w:t>pour chaque valeur v dans le résultat de l'évaluation de query, </w:t>
            </w:r>
          </w:p>
          <w:p w:rsidR="00A7123A" w:rsidRDefault="00A7123A" w:rsidP="009576ED">
            <w:r>
              <w:t>- un nouveau contexte est crée en ajoutant la définition 'var =v' au contexte courant</w:t>
            </w:r>
          </w:p>
          <w:p w:rsidR="00A7123A" w:rsidRDefault="00A7123A" w:rsidP="009576ED">
            <w:r>
              <w:t>- le résultat du traitement du corps runs est inséré dans le document </w:t>
            </w:r>
          </w:p>
          <w:p w:rsidR="00A7123A" w:rsidRDefault="00A7123A" w:rsidP="009576ED">
            <w:r>
              <w:t>les balises {gd:for} et {gd:endfor} sont supprimées.</w:t>
            </w:r>
          </w:p>
          <w:p w:rsidR="00A7123A" w:rsidRDefault="00A7123A" w:rsidP="009576ED">
            <w:r>
              <w:t>Si la balise {gd:for} est immédiatement suivie d'un retour chariot alors l'ensemble du paragraphe la contenant est supprimée du résultat sinon, le paragraphe duquel on a supprimé la balise est inséré dans le résultat. Le même traitement est appliqué à la balise {gd:endfor}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7123A" w:rsidTr="00A7123A">
        <w:tc>
          <w:tcPr>
            <w:tcW w:w="3096" w:type="dxa"/>
          </w:tcPr>
          <w:p w:rsidR="00A7123A" w:rsidRDefault="00A7123A" w:rsidP="00E6199E">
            <w:r>
              <w:t>Query</w:t>
            </w:r>
          </w:p>
        </w:tc>
        <w:tc>
          <w:tcPr>
            <w:tcW w:w="3096" w:type="dxa"/>
          </w:tcPr>
          <w:p w:rsidR="00A7123A" w:rsidRDefault="00A7123A" w:rsidP="00611F2E">
            <w:bookmarkStart w:id="0" w:name="_GoBack"/>
            <w:bookmarkEnd w:id="0"/>
            <w:r w:rsidRPr="00735965">
              <w:rPr>
                <w:b/>
                <w:i/>
              </w:rPr>
              <w:t>{aql:query [icon, label,text]}</w:t>
            </w:r>
          </w:p>
        </w:tc>
        <w:tc>
          <w:tcPr>
            <w:tcW w:w="3096" w:type="dxa"/>
          </w:tcPr>
          <w:p w:rsidR="00A7123A" w:rsidRDefault="00A7123A" w:rsidP="009576ED">
            <w:r>
              <w:t>La balise est remplacée dans le document par la représentation en </w:t>
            </w:r>
          </w:p>
          <w:p w:rsidR="00A7123A" w:rsidRDefault="00A7123A" w:rsidP="009576ED">
            <w:r>
              <w:t>chaine de caractère du résultat de l'évaluation de l'expression dans le </w:t>
            </w:r>
          </w:p>
          <w:p w:rsidR="00A7123A" w:rsidRDefault="00A7123A" w:rsidP="009576ED">
            <w:r>
              <w:t>contexte courant. La style du premier run contenant query est utilisé pour générer le document. Il n'y a pas de sens à utiliser plusieurs styles différents dans une requête si bien que seul le premier est utilisé si plusieurs sont présents.</w:t>
            </w:r>
          </w:p>
          <w:p w:rsidR="00A7123A" w:rsidRDefault="00A7123A" w:rsidP="009576ED">
            <w:r>
              <w:t>- Lorsque le modifier icon est précisé, l'icone de l'élément évalué telle que définie dans le .edit correspondant  est insérée à la place du run</w:t>
            </w:r>
          </w:p>
          <w:p w:rsidR="00A7123A" w:rsidRDefault="00A7123A" w:rsidP="009576ED">
            <w:r>
              <w:t>- Lorsque le modifier label est précisé, le label de l'élément évalué tel que définin dans le .edit correspondant est inséré à la place du run.</w:t>
            </w:r>
          </w:p>
          <w:p w:rsidR="00A7123A" w:rsidRDefault="00A7123A" w:rsidP="009576ED">
            <w:r>
              <w:t>- Lorsque le modifier text ou qu'aucun modifier n'apparait, la représentation en chaine de caractère de l'évaluation du résultat est inséré.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7123A" w:rsidTr="00A7123A">
        <w:tc>
          <w:tcPr>
            <w:tcW w:w="3096" w:type="dxa"/>
          </w:tcPr>
          <w:p w:rsidR="00A7123A" w:rsidRDefault="00A7123A" w:rsidP="00E6199E">
            <w:r>
              <w:t>VarRef</w:t>
            </w:r>
          </w:p>
        </w:tc>
        <w:tc>
          <w:tcPr>
            <w:tcW w:w="3096" w:type="dxa"/>
          </w:tcPr>
          <w:p w:rsidR="00A7123A" w:rsidRDefault="00A7123A" w:rsidP="00611F2E">
            <w:bookmarkStart w:id="0" w:name="_GoBack"/>
            <w:bookmarkEnd w:id="0"/>
            <w:r w:rsidRPr="00735965">
              <w:rPr>
                <w:b/>
                <w:i/>
              </w:rPr>
              <w:t>{var:varName}</w:t>
            </w:r>
          </w:p>
        </w:tc>
        <w:tc>
          <w:tcPr>
            <w:tcW w:w="3096" w:type="dxa"/>
          </w:tcPr>
          <w:p w:rsidR="00A7123A" w:rsidRDefault="00A7123A" w:rsidP="009576ED">
            <w:r>
              <w:t>remplace le champ par la valeur de la variable dans l'environnement ou par un commentaire disant que la variable n'est pas définie.</w:t>
            </w:r>
          </w:p>
        </w:tc>
      </w:tr>
    </w:tbl>
    <w:p w:rsidR="00E6199E" w:rsidRDefault="00E6199E" w:rsidP="00FB7C1C">
      <w:pPr>
        <w:pStyle w:val="Lgende"/>
      </w:pPr>
      <w:proofErr w:type="spellStart"/>
      <w:proofErr w:type="spellEnd"/>
      <w:r w:rsidR="00FB7C1C" w:rsidRPr="00FB7C1C">
        <w:t xml:space="preserve"> </w:t>
      </w:r>
      <w:r w:rsidR="00FB7C1C">
        <w:t xml:space="preserve">Tableau </w:t>
      </w:r>
      <w:r w:rsidR="00F629CA">
        <w:rPr>
          <w:noProof/>
        </w:rPr>
        <w:t>1</w:t>
      </w:r>
      <w:r w:rsidR="00FB7C1C">
        <w:t xml:space="preserve"> : </w:t>
      </w:r>
      <w:r w:rsidR="00F71D03">
        <w:t xml:space="preserve">syntaxe </w:t>
      </w:r>
      <w:r w:rsidR="003A054A">
        <w:t xml:space="preserve">et sémantique </w:t>
      </w:r>
      <w:r w:rsidR="00F71D03">
        <w:t xml:space="preserve">des balises de </w:t>
      </w:r>
      <w:r w:rsidR="00F71D03">
        <w:t>WGen</w:t>
      </w:r>
    </w:p>
    <w:sectPr w:rsidR="00FB7C1C" w:rsidRPr="00E6199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065" w:rsidRDefault="007B3065" w:rsidP="00911EB2">
      <w:pPr>
        <w:spacing w:after="0" w:line="240" w:lineRule="auto"/>
      </w:pPr>
      <w:r>
        <w:separator/>
      </w:r>
    </w:p>
  </w:endnote>
  <w:endnote w:type="continuationSeparator" w:id="0">
    <w:p w:rsidR="007B3065" w:rsidRDefault="007B3065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065" w:rsidRDefault="007B3065" w:rsidP="00911EB2">
      <w:pPr>
        <w:spacing w:after="0" w:line="240" w:lineRule="auto"/>
      </w:pPr>
      <w:r>
        <w:separator/>
      </w:r>
    </w:p>
  </w:footnote>
  <w:footnote w:type="continuationSeparator" w:id="0">
    <w:p w:rsidR="007B3065" w:rsidRDefault="007B3065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proofErr w:type="spellStart"/>
    <w:proofErr w:type="spellEnd"/>
    <w:r>
      <w:t xml:space="preserve">Documentation </w:t>
    </w:r>
    <w:r w:rsidR="00236989">
      <w:t xml:space="preserve">de la syntaxe de </w:t>
    </w:r>
    <w:r w:rsidR="00236989">
      <w:t>WGen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44D"/>
    <w:rsid w:val="000645E6"/>
    <w:rsid w:val="000650B9"/>
    <w:rsid w:val="00067430"/>
    <w:rsid w:val="000746A7"/>
    <w:rsid w:val="0007777A"/>
    <w:rsid w:val="0008685A"/>
    <w:rsid w:val="000921CB"/>
    <w:rsid w:val="00092234"/>
    <w:rsid w:val="000B4C5A"/>
    <w:rsid w:val="000B70E4"/>
    <w:rsid w:val="000B723D"/>
    <w:rsid w:val="000C019C"/>
    <w:rsid w:val="000C1E84"/>
    <w:rsid w:val="000C347F"/>
    <w:rsid w:val="000C55C5"/>
    <w:rsid w:val="000C6086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1F2AC7"/>
    <w:rsid w:val="002005F9"/>
    <w:rsid w:val="00201F1A"/>
    <w:rsid w:val="00207ECE"/>
    <w:rsid w:val="002171D9"/>
    <w:rsid w:val="0022494F"/>
    <w:rsid w:val="00224C8E"/>
    <w:rsid w:val="00226D41"/>
    <w:rsid w:val="00236989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A58AF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054A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0185"/>
    <w:rsid w:val="0040549C"/>
    <w:rsid w:val="00405B4C"/>
    <w:rsid w:val="0041294F"/>
    <w:rsid w:val="004150CF"/>
    <w:rsid w:val="00415DB4"/>
    <w:rsid w:val="00417CB6"/>
    <w:rsid w:val="00420375"/>
    <w:rsid w:val="00420F87"/>
    <w:rsid w:val="004222F1"/>
    <w:rsid w:val="00431D12"/>
    <w:rsid w:val="00432BB8"/>
    <w:rsid w:val="00434EAA"/>
    <w:rsid w:val="00436C25"/>
    <w:rsid w:val="00444461"/>
    <w:rsid w:val="0045313D"/>
    <w:rsid w:val="00455C8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2B06"/>
    <w:rsid w:val="005A443E"/>
    <w:rsid w:val="005A6EFA"/>
    <w:rsid w:val="005B6264"/>
    <w:rsid w:val="005B6713"/>
    <w:rsid w:val="005B799E"/>
    <w:rsid w:val="005D099D"/>
    <w:rsid w:val="005E2748"/>
    <w:rsid w:val="005E51CD"/>
    <w:rsid w:val="005E67A7"/>
    <w:rsid w:val="005E6935"/>
    <w:rsid w:val="005F2378"/>
    <w:rsid w:val="005F2B62"/>
    <w:rsid w:val="005F427D"/>
    <w:rsid w:val="005F5B9C"/>
    <w:rsid w:val="00611F2E"/>
    <w:rsid w:val="00614597"/>
    <w:rsid w:val="006157F3"/>
    <w:rsid w:val="0063762F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35965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3065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2CE7"/>
    <w:rsid w:val="00823D7E"/>
    <w:rsid w:val="0082584A"/>
    <w:rsid w:val="0083000D"/>
    <w:rsid w:val="00833D13"/>
    <w:rsid w:val="00843116"/>
    <w:rsid w:val="0084606D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576ED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16FF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23A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134A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A53C9"/>
    <w:rsid w:val="00DB6356"/>
    <w:rsid w:val="00DE11D8"/>
    <w:rsid w:val="00DE4524"/>
    <w:rsid w:val="00DE55D7"/>
    <w:rsid w:val="00E156DE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D61C6"/>
    <w:rsid w:val="00EE1EBA"/>
    <w:rsid w:val="00EE1FD1"/>
    <w:rsid w:val="00EE4DFF"/>
    <w:rsid w:val="00EF334A"/>
    <w:rsid w:val="00EF7F15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1D03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C62AC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061A7-D962-498E-8BD9-7FF29615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2016-03-07T19:52:00Z</dcterms:modified>
  <cp:revision>82</cp:revision>
</cp:coreProperties>
</file>