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demonstration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5230F1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A07687" w:rsidR="00A07687" w:rsidRDefault="00A07687">
      <w:pPr>
        <w:tabs>
          <w:tab w:pos="3119" w:val="left"/>
        </w:tabs>
      </w:pPr>
      <w:r>
        <w:t>The THEN paragraph.</w:t>
      </w:r>
    </w:p>
    <w:p w:rsidP="00A07687" w:rsidR="00A07687" w:rsidRDefault="00A07687">
      <w:pPr>
        <w:tabs>
          <w:tab w:pos="3119" w:val="left"/>
        </w:tabs>
      </w:pPr>
      <w:r>
        <w:fldChar w:fldCharType="begin"/>
      </w:r>
      <w:r>
        <w:instrText>m:</w:instrText>
      </w:r>
      <w:r w:rsidR="003D0B8A">
        <w:instrText xml:space="preserve"> </w:instrText>
      </w:r>
      <w:bookmarkStart w:id="0" w:name="_GoBack"/>
      <w:bookmarkEnd w:id="0"/>
      <w:r>
        <w:instrText>else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Expression "else" is invalid: missing expression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else by m:else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A07687">
        <w:t>ELSE</w:t>
      </w:r>
      <w:r w:rsidR="002A1F2A">
        <w:t xml:space="preserve"> paragraph.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 w:rsidR="003B0888">
        <w:instrText>m:endif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0B8A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6663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21</Words>
  <Characters>116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2017-08-31T09:13:00Z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