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7A315A" w:rsidR="007A315A" w:rsidRDefault="007A315A">
            <w:pPr>
              <w:tabs>
                <w:tab w:pos="3119" w:val="left"/>
              </w:tabs>
            </w:pPr>
            <w:r>
              <w:fldChar w:fldCharType="begin"/>
            </w:r>
            <w:r>
              <w:instrText xml:space="preserve">m:if </w:instrText>
            </w:r>
            <w:r>
              <w:instrText>false</w:instrText>
            </w:r>
            <w:r>
              <w:fldChar w:fldCharType="end"/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t xml:space="preserve">The THEN </w:t>
            </w:r>
            <w:proofErr w:type="spellStart"/>
            <w:r>
              <w:t>paragraph</w:t>
            </w:r>
            <w:proofErr w:type="spellEnd"/>
            <w:r>
              <w:t>.</w:t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</w:tbl>
    <w:p w:rsidP="002A1F2A" w:rsidR="007A315A" w:rsidRDefault="007A315A">
      <w:pPr>
        <w:tabs>
          <w:tab w:pos="3119" w:val="left"/>
        </w:tabs>
      </w:pP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