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eInverse(org.eclipse.emf.ecore.EObject,org.eclipse.emf.ecore.EClassifier) with arguments [org.eclipse.emf.ecore.impl.EClassImpl@26aecf31 (name: NamedElement) (instanceClassName: null) (abstract: true, interface: true), org.eclipse.emf.ecore.impl.EClassImpl@76f2bbc1 (name: EClassifier) (instanceClassName: null) (abstract: true, interface: false)] failed:
	No ECrossReferenceAdapter found for :org.eclipse.emf.ecore.impl.EClassImpl@26aecf31 (name: NamedElement) (instanceClassName: null) (abstract: true, interface: true)
java.lang.IllegalStateException: No ECrossReferenceAdapter found for :org.eclipse.emf.ecore.impl.EClassImpl@26aecf31 (name: NamedElement) (instanceClassName: null) (abstract: true, interface: true)
	at org.obeonetwork.m2doc.util.ECrossReferenceAdapterCrossReferenceProvider.getInverseReferences(ECrossReferenceAdapterCrossReferenceProvider.java:71)
	at org.eclipse.acceleo.query.services.EObjectServices.eInverse(EObjectServices.java:1432)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org.eclipse.acceleo.query.runtime.impl.EvaluationServices.applyCallOnSequence(EvaluationServices.java:275)
	at org.eclipse.acceleo.query.runtime.impl.EvaluationServices.callOrApply(EvaluationServices.java:203)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org.obeonetwork.m2doc.generator.M2DocEvaluator.caseQuery(M2DocEvaluator.java:587)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