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50877525250632446871251162986986903215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50877525250632446871251162986986903215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67FB4A392E19B5DF42B0556AEFD72E50">
        <w:fldChar w:fldCharType="begin"/>
      </w:r>
      <w:r w:rsidR="67FB4A392E19B5DF42B0556AEFD72E50">
        <w:instrText xml:space="preserve"> REF testid \h </w:instrText>
      </w:r>
      <w:r w:rsidR="67FB4A392E19B5DF42B0556AEFD72E50">
        <w:fldChar w:fldCharType="separate"/>
      </w:r>
      <w:r w:rsidR="67FB4A392E19B5DF42B0556AEFD72E50">
        <w:rPr>
          <w:b w:val="true"/>
          <w:noProof/>
        </w:rPr>
        <w:t>testidref</w:t>
      </w:r>
      <w:r w:rsidR="67FB4A392E19B5DF42B0556AEFD72E50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