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sdt>
      <w:sdtPr>
        <w:id w:val="10212059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1C4631" w:rsidRDefault="001C4631">
          <w:pPr>
            <w:pStyle w:val="En-ttedetabledesmatires"/>
          </w:pPr>
          <w:r>
            <w:t>Table des matières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1C4631" w:rsidRDefault="001C4631">
          <w:pPr>
            <w:pStyle w:val="TM2"/>
            <w:ind w:left="216"/>
          </w:pPr>
          <w:sdt>
            <w:sdtPr>
              <w:id w:val="1667506712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1C4631" w:rsidRDefault="001C4631">
          <w:pPr>
            <w:pStyle w:val="TM3"/>
            <w:ind w:left="446"/>
          </w:pPr>
          <w:sdt>
            <w:sdtPr>
              <w:id w:val="93059032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C4631" w:rsidRDefault="001C4631">
          <w:pPr>
            <w:pStyle w:val="TM2"/>
            <w:ind w:left="216"/>
          </w:pPr>
          <w:sdt>
            <w:sdtPr>
              <w:id w:val="93059040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1C4631" w:rsidRDefault="001C4631">
          <w:pPr>
            <w:pStyle w:val="TM3"/>
            <w:ind w:left="446"/>
          </w:pPr>
          <w:sdt>
            <w:sdtPr>
              <w:id w:val="93059044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P="00F5495F" w:rsidR="00C52979" w:rsidRDefault="00122CE2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