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44F45C5" w14:textId="77777777" w:rsidR="00A31E17" w:rsidRDefault="00A31E17" w:rsidP="003C332E">
      <w:pPr>
        <w:spacing w:after="100" w:afterAutospacing="1"/>
        <w:rPr>
          <w:b/>
          <w:color w:val="365F91" w:themeColor="accent1" w:themeShade="BF"/>
          <w:sz w:val="24"/>
          <w:szCs w:val="24"/>
          <w:lang w:val="en-AU"/>
        </w:rPr>
      </w:pPr>
      <w:bookmarkStart w:id="0" w:name="OLE_LINK1"/>
      <w:bookmarkStart w:id="1" w:name="OLE_LINK2"/>
    </w:p>
    <w:p w14:paraId="4DF218BD" w14:textId="5ACF30B3" w:rsidR="00A31E17" w:rsidRPr="00A31E17" w:rsidRDefault="00A31E17">
      <w:pPr>
        <w:rPr>
          <w:b/>
          <w:color w:val="365F91" w:themeColor="accent1" w:themeShade="BF"/>
          <w:sz w:val="28"/>
          <w:szCs w:val="24"/>
          <w:lang w:val="en-AU"/>
        </w:rPr>
      </w:pPr>
      <w:r w:rsidRPr="00A31E17">
        <w:rPr>
          <w:b/>
          <w:color w:val="365F91" w:themeColor="accent1" w:themeShade="BF"/>
          <w:sz w:val="28"/>
          <w:szCs w:val="24"/>
          <w:lang w:val="en-AU"/>
        </w:rPr>
        <w:t>ARTS3454 Interpreting Portfolio</w:t>
      </w:r>
    </w:p>
    <w:p w14:paraId="5B2C1424" w14:textId="77777777" w:rsidR="00A31E17" w:rsidRPr="00A31E17" w:rsidRDefault="00A31E17" w:rsidP="00A31E17">
      <w:pPr>
        <w:rPr>
          <w:b/>
          <w:color w:val="365F91" w:themeColor="accent1" w:themeShade="BF"/>
          <w:sz w:val="28"/>
          <w:szCs w:val="24"/>
          <w:lang w:val="en-AU"/>
        </w:rPr>
      </w:pPr>
      <w:r w:rsidRPr="00A31E17">
        <w:rPr>
          <w:b/>
          <w:color w:val="365F91" w:themeColor="accent1" w:themeShade="BF"/>
          <w:sz w:val="28"/>
          <w:szCs w:val="24"/>
          <w:lang w:val="en-AU"/>
        </w:rPr>
        <w:t>Shan Wang z5119666</w:t>
      </w:r>
    </w:p>
    <w:p w14:paraId="365255C8" w14:textId="77777777" w:rsidR="00A31E17" w:rsidRDefault="00A31E17" w:rsidP="00A31E17">
      <w:pPr>
        <w:rPr>
          <w:b/>
          <w:color w:val="365F91" w:themeColor="accent1" w:themeShade="BF"/>
          <w:sz w:val="24"/>
          <w:szCs w:val="24"/>
          <w:lang w:val="en-AU"/>
        </w:rPr>
      </w:pPr>
    </w:p>
    <w:p w14:paraId="2F2A11BD" w14:textId="450D9D24" w:rsidR="003C332E" w:rsidRDefault="0070304B" w:rsidP="00A31E17">
      <w:pPr>
        <w:rPr>
          <w:b/>
          <w:color w:val="365F91" w:themeColor="accent1" w:themeShade="BF"/>
          <w:sz w:val="24"/>
          <w:szCs w:val="24"/>
          <w:lang w:val="en-AU"/>
        </w:rPr>
      </w:pPr>
      <w:r w:rsidRPr="0070304B">
        <w:rPr>
          <w:b/>
          <w:color w:val="365F91" w:themeColor="accent1" w:themeShade="BF"/>
          <w:sz w:val="24"/>
          <w:szCs w:val="24"/>
          <w:lang w:val="en-AU"/>
        </w:rPr>
        <w:t>Vocabulary List</w:t>
      </w:r>
    </w:p>
    <w:p w14:paraId="0F7BF9B3" w14:textId="77777777" w:rsidR="00F13963" w:rsidRPr="0070304B" w:rsidRDefault="00F13963" w:rsidP="003C332E">
      <w:pPr>
        <w:spacing w:after="100" w:afterAutospacing="1"/>
        <w:rPr>
          <w:b/>
          <w:color w:val="365F91" w:themeColor="accent1" w:themeShade="BF"/>
          <w:sz w:val="24"/>
          <w:szCs w:val="24"/>
          <w:lang w:val="en-AU"/>
        </w:rPr>
      </w:pPr>
      <w:bookmarkStart w:id="2" w:name="_GoBack"/>
      <w:bookmarkEnd w:id="0"/>
      <w:bookmarkEnd w:id="1"/>
      <w:bookmarkEnd w:id="2"/>
    </w:p>
    <w:tbl>
      <w:tblPr>
        <w:tblStyle w:val="TableGrid"/>
        <w:tblW w:w="0" w:type="auto"/>
        <w:tblInd w:w="108" w:type="dxa"/>
        <w:tblLook w:val="04A0" w:firstRow="1" w:lastRow="0" w:firstColumn="1" w:lastColumn="0" w:noHBand="0" w:noVBand="1"/>
      </w:tblPr>
      <w:tblGrid>
        <w:gridCol w:w="5046"/>
        <w:gridCol w:w="4088"/>
      </w:tblGrid>
      <w:tr w:rsidR="0070304B" w:rsidRPr="0070304B" w14:paraId="3C5AB3EC" w14:textId="07758EBE" w:rsidTr="003C332E">
        <w:tc>
          <w:tcPr>
            <w:tcW w:w="5046" w:type="dxa"/>
          </w:tcPr>
          <w:p w14:paraId="0C29D846" w14:textId="5FB051B3" w:rsidR="0070304B" w:rsidRPr="0070304B" w:rsidRDefault="0070304B" w:rsidP="0070304B">
            <w:pPr>
              <w:tabs>
                <w:tab w:val="center" w:pos="2469"/>
              </w:tabs>
              <w:contextualSpacing w:val="0"/>
            </w:pPr>
            <w:r>
              <w:rPr>
                <w:lang w:val="en-AU"/>
              </w:rPr>
              <w:t xml:space="preserve">big </w:t>
            </w:r>
            <w:r w:rsidRPr="0070304B">
              <w:rPr>
                <w:rFonts w:ascii="Arial Unicode MS" w:eastAsia="Arial Unicode MS" w:hAnsi="Arial Unicode MS" w:cs="Arial Unicode MS"/>
              </w:rPr>
              <w:t xml:space="preserve">data </w:t>
            </w:r>
            <w:r>
              <w:rPr>
                <w:rFonts w:ascii="Arial Unicode MS" w:eastAsia="Arial Unicode MS" w:hAnsi="Arial Unicode MS" w:cs="Arial Unicode MS"/>
              </w:rPr>
              <w:tab/>
            </w:r>
          </w:p>
        </w:tc>
        <w:tc>
          <w:tcPr>
            <w:tcW w:w="4088" w:type="dxa"/>
          </w:tcPr>
          <w:p w14:paraId="43F1C832" w14:textId="7CC3E101" w:rsidR="0070304B" w:rsidRPr="0070304B" w:rsidRDefault="0070304B" w:rsidP="00992944">
            <w:pPr>
              <w:contextualSpacing w:val="0"/>
              <w:rPr>
                <w:lang w:val="en-AU"/>
              </w:rPr>
            </w:pPr>
            <w:r w:rsidRPr="0070304B">
              <w:rPr>
                <w:rFonts w:ascii="Arial Unicode MS" w:eastAsia="Arial Unicode MS" w:hAnsi="Arial Unicode MS" w:cs="Arial Unicode MS"/>
              </w:rPr>
              <w:t>大数据</w:t>
            </w:r>
          </w:p>
        </w:tc>
      </w:tr>
      <w:tr w:rsidR="0070304B" w:rsidRPr="0070304B" w14:paraId="073D40F6" w14:textId="2D99F058" w:rsidTr="003C332E">
        <w:tc>
          <w:tcPr>
            <w:tcW w:w="5046" w:type="dxa"/>
          </w:tcPr>
          <w:p w14:paraId="7EB52AF0" w14:textId="37682458" w:rsidR="0070304B" w:rsidRPr="0070304B" w:rsidRDefault="0070304B" w:rsidP="00992944">
            <w:pPr>
              <w:contextualSpacing w:val="0"/>
            </w:pPr>
            <w:r w:rsidRPr="0070304B">
              <w:rPr>
                <w:rFonts w:ascii="Arial Unicode MS" w:eastAsia="Arial Unicode MS" w:hAnsi="Arial Unicode MS" w:cs="Arial Unicode MS"/>
              </w:rPr>
              <w:t xml:space="preserve">dataveillance </w:t>
            </w:r>
          </w:p>
        </w:tc>
        <w:tc>
          <w:tcPr>
            <w:tcW w:w="4088" w:type="dxa"/>
          </w:tcPr>
          <w:p w14:paraId="05A63311" w14:textId="106BB3FE"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数据监控</w:t>
            </w:r>
          </w:p>
        </w:tc>
      </w:tr>
      <w:tr w:rsidR="0070304B" w:rsidRPr="0070304B" w14:paraId="7FA93758" w14:textId="5401D782" w:rsidTr="003C332E">
        <w:tc>
          <w:tcPr>
            <w:tcW w:w="5046" w:type="dxa"/>
          </w:tcPr>
          <w:p w14:paraId="53F1D5F0" w14:textId="56C7DC6A" w:rsidR="0070304B" w:rsidRPr="0070304B" w:rsidRDefault="0070304B" w:rsidP="00992944">
            <w:pPr>
              <w:contextualSpacing w:val="0"/>
            </w:pPr>
            <w:r w:rsidRPr="0070304B">
              <w:rPr>
                <w:rFonts w:ascii="Arial Unicode MS" w:eastAsia="Arial Unicode MS" w:hAnsi="Arial Unicode MS" w:cs="Arial Unicode MS"/>
              </w:rPr>
              <w:t xml:space="preserve">data surveillance </w:t>
            </w:r>
          </w:p>
        </w:tc>
        <w:tc>
          <w:tcPr>
            <w:tcW w:w="4088" w:type="dxa"/>
          </w:tcPr>
          <w:p w14:paraId="65B5893D" w14:textId="4C5FB4EF"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数据监控</w:t>
            </w:r>
          </w:p>
        </w:tc>
      </w:tr>
      <w:tr w:rsidR="0070304B" w:rsidRPr="0070304B" w14:paraId="075C5DB0" w14:textId="005EE266" w:rsidTr="003C332E">
        <w:tc>
          <w:tcPr>
            <w:tcW w:w="5046" w:type="dxa"/>
          </w:tcPr>
          <w:p w14:paraId="19BD1F09" w14:textId="79CB2514" w:rsidR="0070304B" w:rsidRPr="0070304B" w:rsidRDefault="0070304B" w:rsidP="00992944">
            <w:pPr>
              <w:contextualSpacing w:val="0"/>
            </w:pPr>
            <w:r w:rsidRPr="0070304B">
              <w:rPr>
                <w:rFonts w:ascii="Arial Unicode MS" w:eastAsia="Arial Unicode MS" w:hAnsi="Arial Unicode MS" w:cs="Arial Unicode MS"/>
              </w:rPr>
              <w:t xml:space="preserve">physical surveillance </w:t>
            </w:r>
          </w:p>
        </w:tc>
        <w:tc>
          <w:tcPr>
            <w:tcW w:w="4088" w:type="dxa"/>
          </w:tcPr>
          <w:p w14:paraId="5320127C" w14:textId="015A6CF3"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实体监视</w:t>
            </w:r>
          </w:p>
        </w:tc>
      </w:tr>
      <w:tr w:rsidR="0070304B" w:rsidRPr="0070304B" w14:paraId="1DD91C81" w14:textId="1071F811" w:rsidTr="003C332E">
        <w:tc>
          <w:tcPr>
            <w:tcW w:w="5046" w:type="dxa"/>
          </w:tcPr>
          <w:p w14:paraId="7D82CC00" w14:textId="36D53FEF" w:rsidR="0070304B" w:rsidRPr="0070304B" w:rsidRDefault="0070304B" w:rsidP="00992944">
            <w:pPr>
              <w:contextualSpacing w:val="0"/>
            </w:pPr>
            <w:r w:rsidRPr="0070304B">
              <w:rPr>
                <w:rFonts w:ascii="Arial Unicode MS" w:eastAsia="Arial Unicode MS" w:hAnsi="Arial Unicode MS" w:cs="Arial Unicode MS"/>
                <w:highlight w:val="white"/>
              </w:rPr>
              <w:t xml:space="preserve">personal dataveillance </w:t>
            </w:r>
          </w:p>
        </w:tc>
        <w:tc>
          <w:tcPr>
            <w:tcW w:w="4088" w:type="dxa"/>
          </w:tcPr>
          <w:p w14:paraId="7F465DF1" w14:textId="2E027D55"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个人数据监控</w:t>
            </w:r>
          </w:p>
        </w:tc>
      </w:tr>
      <w:tr w:rsidR="0070304B" w:rsidRPr="0070304B" w14:paraId="57069D22" w14:textId="498EE87A" w:rsidTr="003C332E">
        <w:tc>
          <w:tcPr>
            <w:tcW w:w="5046" w:type="dxa"/>
          </w:tcPr>
          <w:p w14:paraId="2D27481F" w14:textId="1AA92720" w:rsidR="0070304B" w:rsidRPr="0070304B" w:rsidRDefault="0070304B" w:rsidP="00992944">
            <w:pPr>
              <w:contextualSpacing w:val="0"/>
            </w:pPr>
            <w:r w:rsidRPr="0070304B">
              <w:rPr>
                <w:rFonts w:ascii="Arial Unicode MS" w:eastAsia="Arial Unicode MS" w:hAnsi="Arial Unicode MS" w:cs="Arial Unicode MS"/>
              </w:rPr>
              <w:t xml:space="preserve">communications surveillance </w:t>
            </w:r>
          </w:p>
        </w:tc>
        <w:tc>
          <w:tcPr>
            <w:tcW w:w="4088" w:type="dxa"/>
          </w:tcPr>
          <w:p w14:paraId="0A7968F7" w14:textId="664EB7F6"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通讯监视</w:t>
            </w:r>
          </w:p>
        </w:tc>
      </w:tr>
      <w:tr w:rsidR="0070304B" w:rsidRPr="0070304B" w14:paraId="773CEED4" w14:textId="6EBC7AA2" w:rsidTr="003C332E">
        <w:tc>
          <w:tcPr>
            <w:tcW w:w="5046" w:type="dxa"/>
          </w:tcPr>
          <w:p w14:paraId="33C71352" w14:textId="59F46933" w:rsidR="0070304B" w:rsidRPr="0070304B" w:rsidRDefault="0070304B" w:rsidP="00992944">
            <w:pPr>
              <w:contextualSpacing w:val="0"/>
            </w:pPr>
            <w:r w:rsidRPr="0070304B">
              <w:rPr>
                <w:rFonts w:ascii="Arial Unicode MS" w:eastAsia="Arial Unicode MS" w:hAnsi="Arial Unicode MS" w:cs="Arial Unicode MS"/>
              </w:rPr>
              <w:t xml:space="preserve">behavioural surveillance </w:t>
            </w:r>
          </w:p>
        </w:tc>
        <w:tc>
          <w:tcPr>
            <w:tcW w:w="4088" w:type="dxa"/>
          </w:tcPr>
          <w:p w14:paraId="4FB98DD0" w14:textId="1074BEA5"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行为监视</w:t>
            </w:r>
          </w:p>
        </w:tc>
      </w:tr>
      <w:tr w:rsidR="0070304B" w:rsidRPr="0070304B" w14:paraId="48AE4CEC" w14:textId="1C82533C" w:rsidTr="003C332E">
        <w:tc>
          <w:tcPr>
            <w:tcW w:w="5046" w:type="dxa"/>
          </w:tcPr>
          <w:p w14:paraId="77A32423" w14:textId="6C89F341" w:rsidR="0070304B" w:rsidRPr="0070304B" w:rsidRDefault="0070304B" w:rsidP="00992944">
            <w:pPr>
              <w:contextualSpacing w:val="0"/>
            </w:pPr>
            <w:r w:rsidRPr="0070304B">
              <w:rPr>
                <w:rFonts w:ascii="Arial Unicode MS" w:eastAsia="Arial Unicode MS" w:hAnsi="Arial Unicode MS" w:cs="Arial Unicode MS"/>
              </w:rPr>
              <w:t xml:space="preserve">location surveillance </w:t>
            </w:r>
          </w:p>
        </w:tc>
        <w:tc>
          <w:tcPr>
            <w:tcW w:w="4088" w:type="dxa"/>
          </w:tcPr>
          <w:p w14:paraId="4EBFE323" w14:textId="0345F456"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位置监视</w:t>
            </w:r>
          </w:p>
        </w:tc>
      </w:tr>
      <w:tr w:rsidR="0070304B" w:rsidRPr="0070304B" w14:paraId="1841EF02" w14:textId="3279945A" w:rsidTr="003C332E">
        <w:tc>
          <w:tcPr>
            <w:tcW w:w="5046" w:type="dxa"/>
          </w:tcPr>
          <w:p w14:paraId="61C9DD76" w14:textId="5CBE652E" w:rsidR="0070304B" w:rsidRPr="0070304B" w:rsidRDefault="0070304B" w:rsidP="00992944">
            <w:pPr>
              <w:contextualSpacing w:val="0"/>
            </w:pPr>
            <w:r w:rsidRPr="0070304B">
              <w:rPr>
                <w:rFonts w:ascii="Arial Unicode MS" w:eastAsia="Arial Unicode MS" w:hAnsi="Arial Unicode MS" w:cs="Arial Unicode MS"/>
              </w:rPr>
              <w:t xml:space="preserve">experiential surveillance </w:t>
            </w:r>
          </w:p>
        </w:tc>
        <w:tc>
          <w:tcPr>
            <w:tcW w:w="4088" w:type="dxa"/>
          </w:tcPr>
          <w:p w14:paraId="7D3D03FA" w14:textId="0F3C86C8"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体验监控</w:t>
            </w:r>
          </w:p>
        </w:tc>
      </w:tr>
      <w:tr w:rsidR="0070304B" w:rsidRPr="0070304B" w14:paraId="65EB903C" w14:textId="28CE925F" w:rsidTr="003C332E">
        <w:tc>
          <w:tcPr>
            <w:tcW w:w="5046" w:type="dxa"/>
          </w:tcPr>
          <w:p w14:paraId="347ACBDC" w14:textId="3C25C18B" w:rsidR="0070304B" w:rsidRPr="0070304B" w:rsidRDefault="0070304B" w:rsidP="00992944">
            <w:pPr>
              <w:contextualSpacing w:val="0"/>
            </w:pPr>
            <w:r w:rsidRPr="0070304B">
              <w:rPr>
                <w:rFonts w:ascii="Arial Unicode MS" w:eastAsia="Arial Unicode MS" w:hAnsi="Arial Unicode MS" w:cs="Arial Unicode MS"/>
              </w:rPr>
              <w:t xml:space="preserve">bodily surveillance </w:t>
            </w:r>
          </w:p>
        </w:tc>
        <w:tc>
          <w:tcPr>
            <w:tcW w:w="4088" w:type="dxa"/>
          </w:tcPr>
          <w:p w14:paraId="17D2066E" w14:textId="0F7ED63E"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身体监视</w:t>
            </w:r>
          </w:p>
        </w:tc>
      </w:tr>
      <w:tr w:rsidR="0070304B" w:rsidRPr="0070304B" w14:paraId="123947BF" w14:textId="6F4D5B1D" w:rsidTr="003C332E">
        <w:tc>
          <w:tcPr>
            <w:tcW w:w="5046" w:type="dxa"/>
          </w:tcPr>
          <w:p w14:paraId="19093B6B" w14:textId="6FC075A2" w:rsidR="0070304B" w:rsidRPr="0070304B" w:rsidRDefault="0070304B" w:rsidP="00992944">
            <w:pPr>
              <w:contextualSpacing w:val="0"/>
            </w:pPr>
            <w:r w:rsidRPr="0070304B">
              <w:rPr>
                <w:rFonts w:ascii="Arial Unicode MS" w:eastAsia="Arial Unicode MS" w:hAnsi="Arial Unicode MS" w:cs="Arial Unicode MS"/>
              </w:rPr>
              <w:t xml:space="preserve">sousveillance </w:t>
            </w:r>
          </w:p>
        </w:tc>
        <w:tc>
          <w:tcPr>
            <w:tcW w:w="4088" w:type="dxa"/>
          </w:tcPr>
          <w:p w14:paraId="05AD475F" w14:textId="456DC7FB"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反监视</w:t>
            </w:r>
          </w:p>
        </w:tc>
      </w:tr>
      <w:tr w:rsidR="0070304B" w:rsidRPr="0070304B" w14:paraId="305E0F51" w14:textId="6397C746" w:rsidTr="003C332E">
        <w:tc>
          <w:tcPr>
            <w:tcW w:w="5046" w:type="dxa"/>
          </w:tcPr>
          <w:p w14:paraId="3A8235FD" w14:textId="41B459CE" w:rsidR="0070304B" w:rsidRPr="0070304B" w:rsidRDefault="0070304B" w:rsidP="00992944">
            <w:pPr>
              <w:contextualSpacing w:val="0"/>
            </w:pPr>
            <w:r w:rsidRPr="0070304B">
              <w:rPr>
                <w:rFonts w:ascii="Arial Unicode MS" w:eastAsia="Arial Unicode MS" w:hAnsi="Arial Unicode MS" w:cs="Arial Unicode MS"/>
              </w:rPr>
              <w:t xml:space="preserve">surveillance capitalism </w:t>
            </w:r>
          </w:p>
        </w:tc>
        <w:tc>
          <w:tcPr>
            <w:tcW w:w="4088" w:type="dxa"/>
          </w:tcPr>
          <w:p w14:paraId="50C4B85F" w14:textId="3EE5F83F"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监视资本主义</w:t>
            </w:r>
          </w:p>
        </w:tc>
      </w:tr>
      <w:tr w:rsidR="0070304B" w:rsidRPr="0070304B" w14:paraId="41305A35" w14:textId="25E1FC97" w:rsidTr="003C332E">
        <w:tc>
          <w:tcPr>
            <w:tcW w:w="5046" w:type="dxa"/>
          </w:tcPr>
          <w:p w14:paraId="237E5930" w14:textId="3B25D35A" w:rsidR="0070304B" w:rsidRPr="0070304B" w:rsidRDefault="0070304B" w:rsidP="00992944">
            <w:pPr>
              <w:contextualSpacing w:val="0"/>
            </w:pPr>
            <w:r w:rsidRPr="0070304B">
              <w:rPr>
                <w:rFonts w:ascii="Arial Unicode MS" w:eastAsia="Arial Unicode MS" w:hAnsi="Arial Unicode MS" w:cs="Arial Unicode MS"/>
              </w:rPr>
              <w:t xml:space="preserve">digital surveillance economy </w:t>
            </w:r>
          </w:p>
        </w:tc>
        <w:tc>
          <w:tcPr>
            <w:tcW w:w="4088" w:type="dxa"/>
          </w:tcPr>
          <w:p w14:paraId="69A3EBCB" w14:textId="3529E615"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数字监控经济</w:t>
            </w:r>
          </w:p>
        </w:tc>
      </w:tr>
      <w:tr w:rsidR="0070304B" w:rsidRPr="0070304B" w14:paraId="0F960E7B" w14:textId="5099BAC3" w:rsidTr="003C332E">
        <w:tc>
          <w:tcPr>
            <w:tcW w:w="5046" w:type="dxa"/>
          </w:tcPr>
          <w:p w14:paraId="77017FF0" w14:textId="25F84295" w:rsidR="0070304B" w:rsidRPr="0070304B" w:rsidRDefault="0070304B" w:rsidP="00992944">
            <w:pPr>
              <w:contextualSpacing w:val="0"/>
            </w:pPr>
            <w:proofErr w:type="spellStart"/>
            <w:r w:rsidRPr="0070304B">
              <w:rPr>
                <w:rFonts w:ascii="Arial Unicode MS" w:eastAsia="Arial Unicode MS" w:hAnsi="Arial Unicode MS" w:cs="Arial Unicode MS"/>
              </w:rPr>
              <w:t>uberveillance</w:t>
            </w:r>
            <w:proofErr w:type="spellEnd"/>
            <w:r w:rsidRPr="0070304B">
              <w:rPr>
                <w:rFonts w:ascii="Arial Unicode MS" w:eastAsia="Arial Unicode MS" w:hAnsi="Arial Unicode MS" w:cs="Arial Unicode MS"/>
              </w:rPr>
              <w:t xml:space="preserve"> </w:t>
            </w:r>
          </w:p>
        </w:tc>
        <w:tc>
          <w:tcPr>
            <w:tcW w:w="4088" w:type="dxa"/>
          </w:tcPr>
          <w:p w14:paraId="349EB9E2" w14:textId="401F1BD4"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密集监视</w:t>
            </w:r>
          </w:p>
        </w:tc>
      </w:tr>
      <w:tr w:rsidR="0070304B" w:rsidRPr="0070304B" w14:paraId="0B0B54C7" w14:textId="484DF449" w:rsidTr="003C332E">
        <w:tc>
          <w:tcPr>
            <w:tcW w:w="5046" w:type="dxa"/>
          </w:tcPr>
          <w:p w14:paraId="0AB63491" w14:textId="3A14CD0E" w:rsidR="0070304B" w:rsidRPr="0070304B" w:rsidRDefault="0070304B" w:rsidP="00992944">
            <w:pPr>
              <w:contextualSpacing w:val="0"/>
            </w:pPr>
            <w:r w:rsidRPr="0070304B">
              <w:rPr>
                <w:rFonts w:ascii="Arial Unicode MS" w:eastAsia="Arial Unicode MS" w:hAnsi="Arial Unicode MS" w:cs="Arial Unicode MS"/>
              </w:rPr>
              <w:t>radio-frequency identification （RFID）</w:t>
            </w:r>
          </w:p>
        </w:tc>
        <w:tc>
          <w:tcPr>
            <w:tcW w:w="4088" w:type="dxa"/>
          </w:tcPr>
          <w:p w14:paraId="71A15E8C" w14:textId="4B0B639C"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射频识别</w:t>
            </w:r>
          </w:p>
        </w:tc>
      </w:tr>
      <w:tr w:rsidR="0070304B" w:rsidRPr="0070304B" w14:paraId="7F1852AA" w14:textId="56B50C61" w:rsidTr="003C332E">
        <w:tc>
          <w:tcPr>
            <w:tcW w:w="5046" w:type="dxa"/>
          </w:tcPr>
          <w:p w14:paraId="4CC00F50" w14:textId="1A26C5BE" w:rsidR="0070304B" w:rsidRPr="0070304B" w:rsidRDefault="0070304B" w:rsidP="00992944">
            <w:pPr>
              <w:contextualSpacing w:val="0"/>
            </w:pPr>
            <w:r w:rsidRPr="0070304B">
              <w:rPr>
                <w:rFonts w:ascii="Arial Unicode MS" w:eastAsia="Arial Unicode MS" w:hAnsi="Arial Unicode MS" w:cs="Arial Unicode MS"/>
              </w:rPr>
              <w:t xml:space="preserve">analytical intervention </w:t>
            </w:r>
          </w:p>
        </w:tc>
        <w:tc>
          <w:tcPr>
            <w:tcW w:w="4088" w:type="dxa"/>
          </w:tcPr>
          <w:p w14:paraId="7AA8D840" w14:textId="5C7CD03B"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分析干预</w:t>
            </w:r>
          </w:p>
        </w:tc>
      </w:tr>
      <w:tr w:rsidR="0070304B" w:rsidRPr="0070304B" w14:paraId="1AFD8388" w14:textId="3A7D087C" w:rsidTr="003C332E">
        <w:tc>
          <w:tcPr>
            <w:tcW w:w="5046" w:type="dxa"/>
          </w:tcPr>
          <w:p w14:paraId="63284575" w14:textId="0696F8BD" w:rsidR="0070304B" w:rsidRPr="0070304B" w:rsidRDefault="0070304B" w:rsidP="00992944">
            <w:pPr>
              <w:contextualSpacing w:val="0"/>
            </w:pPr>
            <w:proofErr w:type="spellStart"/>
            <w:r w:rsidRPr="0070304B">
              <w:rPr>
                <w:rFonts w:ascii="Arial Unicode MS" w:eastAsia="Arial Unicode MS" w:hAnsi="Arial Unicode MS" w:cs="Arial Unicode MS"/>
              </w:rPr>
              <w:t>behavioral</w:t>
            </w:r>
            <w:proofErr w:type="spellEnd"/>
            <w:r w:rsidRPr="0070304B">
              <w:rPr>
                <w:rFonts w:ascii="Arial Unicode MS" w:eastAsia="Arial Unicode MS" w:hAnsi="Arial Unicode MS" w:cs="Arial Unicode MS"/>
              </w:rPr>
              <w:t xml:space="preserve"> manipulation </w:t>
            </w:r>
          </w:p>
        </w:tc>
        <w:tc>
          <w:tcPr>
            <w:tcW w:w="4088" w:type="dxa"/>
          </w:tcPr>
          <w:p w14:paraId="69BB52FD" w14:textId="68D10F00"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行为操控</w:t>
            </w:r>
          </w:p>
        </w:tc>
      </w:tr>
      <w:tr w:rsidR="0070304B" w:rsidRPr="0070304B" w14:paraId="770D6D59" w14:textId="526B9ADC" w:rsidTr="003C332E">
        <w:tc>
          <w:tcPr>
            <w:tcW w:w="5046" w:type="dxa"/>
          </w:tcPr>
          <w:p w14:paraId="0AABACB6" w14:textId="6AA0C60D" w:rsidR="0070304B" w:rsidRPr="0070304B" w:rsidRDefault="0070304B" w:rsidP="00992944">
            <w:pPr>
              <w:contextualSpacing w:val="0"/>
            </w:pPr>
            <w:r w:rsidRPr="0070304B">
              <w:rPr>
                <w:rFonts w:ascii="Arial Unicode MS" w:eastAsia="Arial Unicode MS" w:hAnsi="Arial Unicode MS" w:cs="Arial Unicode MS"/>
              </w:rPr>
              <w:t xml:space="preserve">performative expectations </w:t>
            </w:r>
          </w:p>
        </w:tc>
        <w:tc>
          <w:tcPr>
            <w:tcW w:w="4088" w:type="dxa"/>
          </w:tcPr>
          <w:p w14:paraId="0520D9CB" w14:textId="34DAC341"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行为原语期望</w:t>
            </w:r>
          </w:p>
        </w:tc>
      </w:tr>
      <w:tr w:rsidR="0070304B" w:rsidRPr="0070304B" w14:paraId="115D993F" w14:textId="584FFB7D" w:rsidTr="003C332E">
        <w:tc>
          <w:tcPr>
            <w:tcW w:w="5046" w:type="dxa"/>
          </w:tcPr>
          <w:p w14:paraId="5928E81D" w14:textId="146C75E1" w:rsidR="0070304B" w:rsidRPr="0070304B" w:rsidRDefault="0070304B" w:rsidP="00992944">
            <w:pPr>
              <w:contextualSpacing w:val="0"/>
            </w:pPr>
            <w:r w:rsidRPr="0070304B">
              <w:rPr>
                <w:rFonts w:ascii="Arial Unicode MS" w:eastAsia="Arial Unicode MS" w:hAnsi="Arial Unicode MS" w:cs="Arial Unicode MS"/>
              </w:rPr>
              <w:t xml:space="preserve">analytical deputies </w:t>
            </w:r>
          </w:p>
        </w:tc>
        <w:tc>
          <w:tcPr>
            <w:tcW w:w="4088" w:type="dxa"/>
          </w:tcPr>
          <w:p w14:paraId="0F6FD3D6" w14:textId="1FF2FB34"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分析代表</w:t>
            </w:r>
          </w:p>
        </w:tc>
      </w:tr>
      <w:tr w:rsidR="0070304B" w:rsidRPr="0070304B" w14:paraId="2284ED34" w14:textId="501E8205" w:rsidTr="003C332E">
        <w:tc>
          <w:tcPr>
            <w:tcW w:w="5046" w:type="dxa"/>
          </w:tcPr>
          <w:p w14:paraId="4ECCD144" w14:textId="52C18F87" w:rsidR="0070304B" w:rsidRPr="0070304B" w:rsidRDefault="0070304B" w:rsidP="00992944">
            <w:pPr>
              <w:contextualSpacing w:val="0"/>
            </w:pPr>
            <w:r w:rsidRPr="0070304B">
              <w:rPr>
                <w:rFonts w:ascii="Arial Unicode MS" w:eastAsia="Arial Unicode MS" w:hAnsi="Arial Unicode MS" w:cs="Arial Unicode MS"/>
              </w:rPr>
              <w:t xml:space="preserve">data crunchers </w:t>
            </w:r>
          </w:p>
        </w:tc>
        <w:tc>
          <w:tcPr>
            <w:tcW w:w="4088" w:type="dxa"/>
          </w:tcPr>
          <w:p w14:paraId="3D6EEC62" w14:textId="66AC1ECF"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数据消化者</w:t>
            </w:r>
          </w:p>
        </w:tc>
      </w:tr>
      <w:tr w:rsidR="0070304B" w:rsidRPr="0070304B" w14:paraId="10BC731A" w14:textId="636F3B06" w:rsidTr="003C332E">
        <w:tc>
          <w:tcPr>
            <w:tcW w:w="5046" w:type="dxa"/>
          </w:tcPr>
          <w:p w14:paraId="608CB303" w14:textId="7755FE44" w:rsidR="0070304B" w:rsidRPr="0070304B" w:rsidRDefault="0070304B" w:rsidP="00992944">
            <w:pPr>
              <w:contextualSpacing w:val="0"/>
            </w:pPr>
            <w:r w:rsidRPr="0070304B">
              <w:rPr>
                <w:rFonts w:ascii="Arial Unicode MS" w:eastAsia="Arial Unicode MS" w:hAnsi="Arial Unicode MS" w:cs="Arial Unicode MS"/>
              </w:rPr>
              <w:t xml:space="preserve">actionable insights </w:t>
            </w:r>
          </w:p>
        </w:tc>
        <w:tc>
          <w:tcPr>
            <w:tcW w:w="4088" w:type="dxa"/>
          </w:tcPr>
          <w:p w14:paraId="3D3843B3" w14:textId="39087914"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可执行建议</w:t>
            </w:r>
          </w:p>
        </w:tc>
      </w:tr>
      <w:tr w:rsidR="0070304B" w:rsidRPr="0070304B" w14:paraId="7AA73B41" w14:textId="328A00CC" w:rsidTr="003C332E">
        <w:tc>
          <w:tcPr>
            <w:tcW w:w="5046" w:type="dxa"/>
          </w:tcPr>
          <w:p w14:paraId="28986D56" w14:textId="406DE20B" w:rsidR="0070304B" w:rsidRPr="0070304B" w:rsidRDefault="0070304B" w:rsidP="00992944">
            <w:pPr>
              <w:contextualSpacing w:val="0"/>
              <w:rPr>
                <w:b/>
              </w:rPr>
            </w:pPr>
            <w:r w:rsidRPr="0070304B">
              <w:rPr>
                <w:rFonts w:ascii="Arial Unicode MS" w:eastAsia="Arial Unicode MS" w:hAnsi="Arial Unicode MS" w:cs="Arial Unicode MS"/>
              </w:rPr>
              <w:t xml:space="preserve">equiveillance </w:t>
            </w:r>
          </w:p>
        </w:tc>
        <w:tc>
          <w:tcPr>
            <w:tcW w:w="4088" w:type="dxa"/>
          </w:tcPr>
          <w:p w14:paraId="734D529F" w14:textId="52859171"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等值监视</w:t>
            </w:r>
          </w:p>
        </w:tc>
      </w:tr>
      <w:tr w:rsidR="0070304B" w:rsidRPr="0070304B" w14:paraId="19F78F82" w14:textId="786786A9" w:rsidTr="003C332E">
        <w:tc>
          <w:tcPr>
            <w:tcW w:w="5046" w:type="dxa"/>
          </w:tcPr>
          <w:p w14:paraId="7C992399" w14:textId="6142011D" w:rsidR="0070304B" w:rsidRPr="0070304B" w:rsidRDefault="0070304B" w:rsidP="00992944">
            <w:pPr>
              <w:contextualSpacing w:val="0"/>
            </w:pPr>
            <w:r w:rsidRPr="0070304B">
              <w:rPr>
                <w:rFonts w:ascii="Arial Unicode MS" w:eastAsia="Arial Unicode MS" w:hAnsi="Arial Unicode MS" w:cs="Arial Unicode MS"/>
              </w:rPr>
              <w:t xml:space="preserve">private Entities </w:t>
            </w:r>
          </w:p>
        </w:tc>
        <w:tc>
          <w:tcPr>
            <w:tcW w:w="4088" w:type="dxa"/>
          </w:tcPr>
          <w:p w14:paraId="36A5E6A0" w14:textId="3C31A28E"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私人部门</w:t>
            </w:r>
          </w:p>
        </w:tc>
      </w:tr>
      <w:tr w:rsidR="0070304B" w:rsidRPr="0070304B" w14:paraId="16C9BA9E" w14:textId="158D4AE4" w:rsidTr="003C332E">
        <w:tc>
          <w:tcPr>
            <w:tcW w:w="5046" w:type="dxa"/>
          </w:tcPr>
          <w:p w14:paraId="4949297F" w14:textId="0785288E" w:rsidR="0070304B" w:rsidRPr="0070304B" w:rsidRDefault="0070304B" w:rsidP="00992944">
            <w:pPr>
              <w:contextualSpacing w:val="0"/>
            </w:pPr>
            <w:r w:rsidRPr="0070304B">
              <w:rPr>
                <w:rFonts w:ascii="Arial Unicode MS" w:eastAsia="Arial Unicode MS" w:hAnsi="Arial Unicode MS" w:cs="Arial Unicode MS"/>
              </w:rPr>
              <w:t xml:space="preserve">Quasi-Legal Instruments </w:t>
            </w:r>
          </w:p>
        </w:tc>
        <w:tc>
          <w:tcPr>
            <w:tcW w:w="4088" w:type="dxa"/>
          </w:tcPr>
          <w:p w14:paraId="687EBA3C" w14:textId="1A719100"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准法律文书</w:t>
            </w:r>
          </w:p>
        </w:tc>
      </w:tr>
      <w:tr w:rsidR="0070304B" w:rsidRPr="0070304B" w14:paraId="754C1933" w14:textId="60BB6C7B" w:rsidTr="003C332E">
        <w:tc>
          <w:tcPr>
            <w:tcW w:w="5046" w:type="dxa"/>
          </w:tcPr>
          <w:p w14:paraId="5408EBD4" w14:textId="681A8624" w:rsidR="0070304B" w:rsidRPr="0070304B" w:rsidRDefault="0070304B" w:rsidP="00992944">
            <w:pPr>
              <w:contextualSpacing w:val="0"/>
            </w:pPr>
            <w:r w:rsidRPr="0070304B">
              <w:rPr>
                <w:rFonts w:ascii="Arial Unicode MS" w:eastAsia="Arial Unicode MS" w:hAnsi="Arial Unicode MS" w:cs="Arial Unicode MS"/>
              </w:rPr>
              <w:t xml:space="preserve">cyberspace </w:t>
            </w:r>
          </w:p>
        </w:tc>
        <w:tc>
          <w:tcPr>
            <w:tcW w:w="4088" w:type="dxa"/>
          </w:tcPr>
          <w:p w14:paraId="113D9EFA" w14:textId="5C98FA7A"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网络空间</w:t>
            </w:r>
          </w:p>
        </w:tc>
      </w:tr>
      <w:tr w:rsidR="0070304B" w:rsidRPr="0070304B" w14:paraId="70B386FD" w14:textId="04088CB4" w:rsidTr="003C332E">
        <w:tc>
          <w:tcPr>
            <w:tcW w:w="5046" w:type="dxa"/>
          </w:tcPr>
          <w:p w14:paraId="036FBD08" w14:textId="78C65E92" w:rsidR="0070304B" w:rsidRPr="0070304B" w:rsidRDefault="0070304B" w:rsidP="00992944">
            <w:pPr>
              <w:contextualSpacing w:val="0"/>
            </w:pPr>
            <w:r w:rsidRPr="0070304B">
              <w:rPr>
                <w:rFonts w:ascii="Arial Unicode MS" w:eastAsia="Arial Unicode MS" w:hAnsi="Arial Unicode MS" w:cs="Arial Unicode MS"/>
              </w:rPr>
              <w:t xml:space="preserve">authoritarianism </w:t>
            </w:r>
          </w:p>
        </w:tc>
        <w:tc>
          <w:tcPr>
            <w:tcW w:w="4088" w:type="dxa"/>
          </w:tcPr>
          <w:p w14:paraId="570A8B7D" w14:textId="6D2712C7"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独裁主义</w:t>
            </w:r>
          </w:p>
        </w:tc>
      </w:tr>
      <w:tr w:rsidR="0070304B" w:rsidRPr="0070304B" w14:paraId="08FB2738" w14:textId="4A9619CB" w:rsidTr="003C332E">
        <w:tc>
          <w:tcPr>
            <w:tcW w:w="5046" w:type="dxa"/>
          </w:tcPr>
          <w:p w14:paraId="324E82C2" w14:textId="27869443" w:rsidR="0070304B" w:rsidRPr="0070304B" w:rsidRDefault="0070304B" w:rsidP="00992944">
            <w:pPr>
              <w:contextualSpacing w:val="0"/>
            </w:pPr>
            <w:r w:rsidRPr="0070304B">
              <w:rPr>
                <w:rFonts w:ascii="Arial Unicode MS" w:eastAsia="Arial Unicode MS" w:hAnsi="Arial Unicode MS" w:cs="Arial Unicode MS"/>
              </w:rPr>
              <w:t xml:space="preserve">intrusiveness </w:t>
            </w:r>
          </w:p>
        </w:tc>
        <w:tc>
          <w:tcPr>
            <w:tcW w:w="4088" w:type="dxa"/>
          </w:tcPr>
          <w:p w14:paraId="7B686359" w14:textId="70F28F73"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侵扰</w:t>
            </w:r>
          </w:p>
        </w:tc>
      </w:tr>
      <w:tr w:rsidR="0070304B" w:rsidRPr="0070304B" w14:paraId="250B6629" w14:textId="6EB84F08" w:rsidTr="003C332E">
        <w:tc>
          <w:tcPr>
            <w:tcW w:w="5046" w:type="dxa"/>
          </w:tcPr>
          <w:p w14:paraId="261C418C" w14:textId="0E05C343" w:rsidR="0070304B" w:rsidRPr="0070304B" w:rsidRDefault="0070304B" w:rsidP="00992944">
            <w:pPr>
              <w:contextualSpacing w:val="0"/>
            </w:pPr>
            <w:r w:rsidRPr="0070304B">
              <w:rPr>
                <w:rFonts w:ascii="Arial Unicode MS" w:eastAsia="Arial Unicode MS" w:hAnsi="Arial Unicode MS" w:cs="Arial Unicode MS"/>
              </w:rPr>
              <w:t xml:space="preserve">architecture  </w:t>
            </w:r>
          </w:p>
        </w:tc>
        <w:tc>
          <w:tcPr>
            <w:tcW w:w="4088" w:type="dxa"/>
          </w:tcPr>
          <w:p w14:paraId="2FBCCFEE" w14:textId="0E20A082"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功能结构</w:t>
            </w:r>
          </w:p>
        </w:tc>
      </w:tr>
      <w:tr w:rsidR="0070304B" w:rsidRPr="0070304B" w14:paraId="5BF34641" w14:textId="7981B832" w:rsidTr="003C332E">
        <w:tc>
          <w:tcPr>
            <w:tcW w:w="5046" w:type="dxa"/>
          </w:tcPr>
          <w:p w14:paraId="415B059E" w14:textId="4A6F8293" w:rsidR="0070304B" w:rsidRPr="0070304B" w:rsidRDefault="0070304B" w:rsidP="00992944">
            <w:pPr>
              <w:contextualSpacing w:val="0"/>
            </w:pPr>
            <w:r w:rsidRPr="0070304B">
              <w:rPr>
                <w:rFonts w:ascii="Arial Unicode MS" w:eastAsia="Arial Unicode MS" w:hAnsi="Arial Unicode MS" w:cs="Arial Unicode MS"/>
              </w:rPr>
              <w:t xml:space="preserve">infrastructure </w:t>
            </w:r>
          </w:p>
        </w:tc>
        <w:tc>
          <w:tcPr>
            <w:tcW w:w="4088" w:type="dxa"/>
          </w:tcPr>
          <w:p w14:paraId="00845519" w14:textId="32F129DA"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基础结构</w:t>
            </w:r>
          </w:p>
        </w:tc>
      </w:tr>
      <w:tr w:rsidR="0070304B" w:rsidRPr="0070304B" w14:paraId="54899802" w14:textId="6FC1482B" w:rsidTr="003C332E">
        <w:tc>
          <w:tcPr>
            <w:tcW w:w="5046" w:type="dxa"/>
          </w:tcPr>
          <w:p w14:paraId="1EDB0CDF" w14:textId="464CB82C" w:rsidR="0070304B" w:rsidRPr="0070304B" w:rsidRDefault="0070304B" w:rsidP="00992944">
            <w:pPr>
              <w:contextualSpacing w:val="0"/>
            </w:pPr>
            <w:r w:rsidRPr="0070304B">
              <w:rPr>
                <w:rFonts w:ascii="Arial Unicode MS" w:eastAsia="Arial Unicode MS" w:hAnsi="Arial Unicode MS" w:cs="Arial Unicode MS"/>
              </w:rPr>
              <w:t xml:space="preserve">jurisdictions </w:t>
            </w:r>
          </w:p>
        </w:tc>
        <w:tc>
          <w:tcPr>
            <w:tcW w:w="4088" w:type="dxa"/>
          </w:tcPr>
          <w:p w14:paraId="64FA7A47" w14:textId="08424BC6"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司法管辖区</w:t>
            </w:r>
          </w:p>
        </w:tc>
      </w:tr>
      <w:tr w:rsidR="0070304B" w:rsidRPr="0070304B" w14:paraId="41D5FAF1" w14:textId="7831E74E" w:rsidTr="003C332E">
        <w:tc>
          <w:tcPr>
            <w:tcW w:w="5046" w:type="dxa"/>
          </w:tcPr>
          <w:p w14:paraId="3D996C21" w14:textId="615C2003" w:rsidR="0070304B" w:rsidRPr="0070304B" w:rsidRDefault="0070304B" w:rsidP="00992944">
            <w:pPr>
              <w:contextualSpacing w:val="0"/>
            </w:pPr>
            <w:r w:rsidRPr="0070304B">
              <w:rPr>
                <w:rFonts w:ascii="Arial Unicode MS" w:eastAsia="Arial Unicode MS" w:hAnsi="Arial Unicode MS" w:cs="Arial Unicode MS"/>
              </w:rPr>
              <w:lastRenderedPageBreak/>
              <w:t xml:space="preserve">digitalisation </w:t>
            </w:r>
          </w:p>
        </w:tc>
        <w:tc>
          <w:tcPr>
            <w:tcW w:w="4088" w:type="dxa"/>
          </w:tcPr>
          <w:p w14:paraId="2D83A2A8" w14:textId="26450F8C"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数字化</w:t>
            </w:r>
          </w:p>
        </w:tc>
      </w:tr>
      <w:tr w:rsidR="0070304B" w:rsidRPr="0070304B" w14:paraId="6E851121" w14:textId="2E03E2AC" w:rsidTr="003C332E">
        <w:tc>
          <w:tcPr>
            <w:tcW w:w="5046" w:type="dxa"/>
          </w:tcPr>
          <w:p w14:paraId="4908B7EE" w14:textId="176527F1" w:rsidR="0070304B" w:rsidRPr="0070304B" w:rsidRDefault="0070304B" w:rsidP="00992944">
            <w:pPr>
              <w:contextualSpacing w:val="0"/>
            </w:pPr>
            <w:r w:rsidRPr="0070304B">
              <w:rPr>
                <w:rFonts w:ascii="Arial Unicode MS" w:eastAsia="Arial Unicode MS" w:hAnsi="Arial Unicode MS" w:cs="Arial Unicode MS"/>
              </w:rPr>
              <w:t xml:space="preserve">datafication  </w:t>
            </w:r>
          </w:p>
        </w:tc>
        <w:tc>
          <w:tcPr>
            <w:tcW w:w="4088" w:type="dxa"/>
          </w:tcPr>
          <w:p w14:paraId="661B9994" w14:textId="1EB9F596"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数据化；量化</w:t>
            </w:r>
          </w:p>
        </w:tc>
      </w:tr>
      <w:tr w:rsidR="0070304B" w:rsidRPr="0070304B" w14:paraId="4DA64B4F" w14:textId="4BDFAC57" w:rsidTr="003C332E">
        <w:tc>
          <w:tcPr>
            <w:tcW w:w="5046" w:type="dxa"/>
          </w:tcPr>
          <w:p w14:paraId="01EF1FDE" w14:textId="0F142D8F" w:rsidR="0070304B" w:rsidRPr="0070304B" w:rsidRDefault="0070304B" w:rsidP="00992944">
            <w:pPr>
              <w:contextualSpacing w:val="0"/>
            </w:pPr>
            <w:r w:rsidRPr="0070304B">
              <w:rPr>
                <w:rFonts w:ascii="Arial Unicode MS" w:eastAsia="Arial Unicode MS" w:hAnsi="Arial Unicode MS" w:cs="Arial Unicode MS"/>
              </w:rPr>
              <w:t xml:space="preserve">manifestation </w:t>
            </w:r>
          </w:p>
        </w:tc>
        <w:tc>
          <w:tcPr>
            <w:tcW w:w="4088" w:type="dxa"/>
          </w:tcPr>
          <w:p w14:paraId="5EE35CD2" w14:textId="14249301"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表现</w:t>
            </w:r>
          </w:p>
        </w:tc>
      </w:tr>
      <w:tr w:rsidR="0070304B" w:rsidRPr="0070304B" w14:paraId="4F490862" w14:textId="536CCE9D" w:rsidTr="003C332E">
        <w:tc>
          <w:tcPr>
            <w:tcW w:w="5046" w:type="dxa"/>
          </w:tcPr>
          <w:p w14:paraId="7FA3F05C" w14:textId="067D9844" w:rsidR="0070304B" w:rsidRPr="0070304B" w:rsidRDefault="0070304B" w:rsidP="00992944">
            <w:pPr>
              <w:contextualSpacing w:val="0"/>
            </w:pPr>
            <w:r w:rsidRPr="0070304B">
              <w:rPr>
                <w:rFonts w:ascii="Arial Unicode MS" w:eastAsia="Arial Unicode MS" w:hAnsi="Arial Unicode MS" w:cs="Arial Unicode MS"/>
              </w:rPr>
              <w:t xml:space="preserve">megabytes </w:t>
            </w:r>
          </w:p>
        </w:tc>
        <w:tc>
          <w:tcPr>
            <w:tcW w:w="4088" w:type="dxa"/>
          </w:tcPr>
          <w:p w14:paraId="103F2D36" w14:textId="1B472626"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兆字节</w:t>
            </w:r>
          </w:p>
        </w:tc>
      </w:tr>
      <w:tr w:rsidR="0070304B" w:rsidRPr="0070304B" w14:paraId="30FB27F6" w14:textId="62B631BA" w:rsidTr="003C332E">
        <w:tc>
          <w:tcPr>
            <w:tcW w:w="5046" w:type="dxa"/>
          </w:tcPr>
          <w:p w14:paraId="3FD38752" w14:textId="697FBE0C" w:rsidR="0070304B" w:rsidRPr="0070304B" w:rsidRDefault="0070304B" w:rsidP="00992944">
            <w:pPr>
              <w:contextualSpacing w:val="0"/>
            </w:pPr>
            <w:r w:rsidRPr="0070304B">
              <w:rPr>
                <w:rFonts w:ascii="Arial Unicode MS" w:eastAsia="Arial Unicode MS" w:hAnsi="Arial Unicode MS" w:cs="Arial Unicode MS"/>
              </w:rPr>
              <w:t xml:space="preserve">terabytes </w:t>
            </w:r>
          </w:p>
        </w:tc>
        <w:tc>
          <w:tcPr>
            <w:tcW w:w="4088" w:type="dxa"/>
          </w:tcPr>
          <w:p w14:paraId="029EA6DB" w14:textId="64AAB9AF"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太字节；兆兆字节</w:t>
            </w:r>
          </w:p>
        </w:tc>
      </w:tr>
      <w:tr w:rsidR="0070304B" w:rsidRPr="0070304B" w14:paraId="551D3604" w14:textId="1B73E3D2" w:rsidTr="003C332E">
        <w:tc>
          <w:tcPr>
            <w:tcW w:w="5046" w:type="dxa"/>
          </w:tcPr>
          <w:p w14:paraId="2E38D3AC" w14:textId="308417CE" w:rsidR="0070304B" w:rsidRPr="0070304B" w:rsidRDefault="0070304B" w:rsidP="00992944">
            <w:pPr>
              <w:contextualSpacing w:val="0"/>
            </w:pPr>
            <w:r w:rsidRPr="0070304B">
              <w:rPr>
                <w:rFonts w:ascii="Arial Unicode MS" w:eastAsia="Arial Unicode MS" w:hAnsi="Arial Unicode MS" w:cs="Arial Unicode MS"/>
              </w:rPr>
              <w:t xml:space="preserve">petabytes </w:t>
            </w:r>
          </w:p>
        </w:tc>
        <w:tc>
          <w:tcPr>
            <w:tcW w:w="4088" w:type="dxa"/>
          </w:tcPr>
          <w:p w14:paraId="47F7B4F9" w14:textId="5691FEBB"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拍字节；千兆字节</w:t>
            </w:r>
          </w:p>
        </w:tc>
      </w:tr>
      <w:tr w:rsidR="0070304B" w:rsidRPr="0070304B" w14:paraId="1BDD474D" w14:textId="04E6A275" w:rsidTr="003C332E">
        <w:tc>
          <w:tcPr>
            <w:tcW w:w="5046" w:type="dxa"/>
          </w:tcPr>
          <w:p w14:paraId="5CAE0AB2" w14:textId="7B6B9B8E" w:rsidR="0070304B" w:rsidRPr="0070304B" w:rsidRDefault="0070304B" w:rsidP="00992944">
            <w:pPr>
              <w:contextualSpacing w:val="0"/>
            </w:pPr>
            <w:r w:rsidRPr="0070304B">
              <w:rPr>
                <w:rFonts w:ascii="Arial Unicode MS" w:eastAsia="Arial Unicode MS" w:hAnsi="Arial Unicode MS" w:cs="Arial Unicode MS"/>
              </w:rPr>
              <w:t xml:space="preserve">yottabytes </w:t>
            </w:r>
          </w:p>
        </w:tc>
        <w:tc>
          <w:tcPr>
            <w:tcW w:w="4088" w:type="dxa"/>
          </w:tcPr>
          <w:p w14:paraId="1EF3087F" w14:textId="6A3B9CA1"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尧字节；2的80次方元组</w:t>
            </w:r>
          </w:p>
        </w:tc>
      </w:tr>
      <w:tr w:rsidR="0070304B" w:rsidRPr="0070304B" w14:paraId="45AB9839" w14:textId="6C99A722" w:rsidTr="003C332E">
        <w:tc>
          <w:tcPr>
            <w:tcW w:w="5046" w:type="dxa"/>
          </w:tcPr>
          <w:p w14:paraId="13051963" w14:textId="256BB490" w:rsidR="0070304B" w:rsidRPr="0070304B" w:rsidRDefault="0070304B" w:rsidP="00992944">
            <w:pPr>
              <w:contextualSpacing w:val="0"/>
            </w:pPr>
            <w:r w:rsidRPr="0070304B">
              <w:rPr>
                <w:rFonts w:ascii="Arial Unicode MS" w:eastAsia="Arial Unicode MS" w:hAnsi="Arial Unicode MS" w:cs="Arial Unicode MS"/>
              </w:rPr>
              <w:t xml:space="preserve">variability </w:t>
            </w:r>
          </w:p>
        </w:tc>
        <w:tc>
          <w:tcPr>
            <w:tcW w:w="4088" w:type="dxa"/>
          </w:tcPr>
          <w:p w14:paraId="5DADA9A1" w14:textId="2FFAB3A8"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变化性</w:t>
            </w:r>
          </w:p>
        </w:tc>
      </w:tr>
      <w:tr w:rsidR="0070304B" w:rsidRPr="0070304B" w14:paraId="68080BAB" w14:textId="6A515D14" w:rsidTr="003C332E">
        <w:tc>
          <w:tcPr>
            <w:tcW w:w="5046" w:type="dxa"/>
          </w:tcPr>
          <w:p w14:paraId="62FB9174" w14:textId="229628EC" w:rsidR="0070304B" w:rsidRPr="0070304B" w:rsidRDefault="0070304B" w:rsidP="00992944">
            <w:pPr>
              <w:contextualSpacing w:val="0"/>
            </w:pPr>
            <w:r w:rsidRPr="0070304B">
              <w:rPr>
                <w:rFonts w:ascii="Arial Unicode MS" w:eastAsia="Arial Unicode MS" w:hAnsi="Arial Unicode MS" w:cs="Arial Unicode MS"/>
              </w:rPr>
              <w:t xml:space="preserve">analytical competitor </w:t>
            </w:r>
          </w:p>
        </w:tc>
        <w:tc>
          <w:tcPr>
            <w:tcW w:w="4088" w:type="dxa"/>
          </w:tcPr>
          <w:p w14:paraId="4E6CAF11" w14:textId="75AC996F" w:rsidR="0070304B" w:rsidRPr="0070304B" w:rsidRDefault="0070304B" w:rsidP="00992944">
            <w:pPr>
              <w:contextualSpacing w:val="0"/>
              <w:rPr>
                <w:rFonts w:ascii="Arial Unicode MS" w:eastAsia="Arial Unicode MS" w:hAnsi="Arial Unicode MS" w:cs="Arial Unicode MS"/>
              </w:rPr>
            </w:pPr>
            <w:r w:rsidRPr="0070304B">
              <w:rPr>
                <w:rFonts w:ascii="Arial Unicode MS" w:eastAsia="Arial Unicode MS" w:hAnsi="Arial Unicode MS" w:cs="Arial Unicode MS"/>
              </w:rPr>
              <w:t>分析竞争者</w:t>
            </w:r>
          </w:p>
        </w:tc>
      </w:tr>
      <w:tr w:rsidR="0070304B" w:rsidRPr="0070304B" w14:paraId="06AA4C54" w14:textId="3A85011C" w:rsidTr="003C332E">
        <w:tc>
          <w:tcPr>
            <w:tcW w:w="5046" w:type="dxa"/>
          </w:tcPr>
          <w:p w14:paraId="17B49AFB" w14:textId="06C1E70A"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human identification </w:t>
            </w:r>
          </w:p>
        </w:tc>
        <w:tc>
          <w:tcPr>
            <w:tcW w:w="4088" w:type="dxa"/>
          </w:tcPr>
          <w:p w14:paraId="1B885229" w14:textId="57C90E4C"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人体识别</w:t>
            </w:r>
          </w:p>
        </w:tc>
      </w:tr>
      <w:tr w:rsidR="0070304B" w:rsidRPr="0070304B" w14:paraId="5F4C0476" w14:textId="57C4B134" w:rsidTr="003C332E">
        <w:tc>
          <w:tcPr>
            <w:tcW w:w="5046" w:type="dxa"/>
          </w:tcPr>
          <w:p w14:paraId="4E3EEE62" w14:textId="20E53A4E"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social fabric </w:t>
            </w:r>
          </w:p>
        </w:tc>
        <w:tc>
          <w:tcPr>
            <w:tcW w:w="4088" w:type="dxa"/>
          </w:tcPr>
          <w:p w14:paraId="2FCF0E94" w14:textId="14FA92F6"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社交结构</w:t>
            </w:r>
          </w:p>
        </w:tc>
      </w:tr>
      <w:tr w:rsidR="0070304B" w:rsidRPr="0070304B" w14:paraId="6AD34045" w14:textId="356F12D1" w:rsidTr="003C332E">
        <w:tc>
          <w:tcPr>
            <w:tcW w:w="5046" w:type="dxa"/>
          </w:tcPr>
          <w:p w14:paraId="0253FB10" w14:textId="4D800C77"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infrared binoculars </w:t>
            </w:r>
          </w:p>
        </w:tc>
        <w:tc>
          <w:tcPr>
            <w:tcW w:w="4088" w:type="dxa"/>
          </w:tcPr>
          <w:p w14:paraId="0131A79C" w14:textId="446B0467"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红外线望远镜</w:t>
            </w:r>
          </w:p>
        </w:tc>
      </w:tr>
      <w:tr w:rsidR="0070304B" w:rsidRPr="0070304B" w14:paraId="7BDEC5AD" w14:textId="68F7AA51" w:rsidTr="003C332E">
        <w:tc>
          <w:tcPr>
            <w:tcW w:w="5046" w:type="dxa"/>
          </w:tcPr>
          <w:p w14:paraId="45557E65" w14:textId="060E7D41"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directional microphones </w:t>
            </w:r>
          </w:p>
        </w:tc>
        <w:tc>
          <w:tcPr>
            <w:tcW w:w="4088" w:type="dxa"/>
          </w:tcPr>
          <w:p w14:paraId="004DCA6F" w14:textId="74E7E746"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定向麦克风</w:t>
            </w:r>
          </w:p>
        </w:tc>
      </w:tr>
      <w:tr w:rsidR="0070304B" w:rsidRPr="0070304B" w14:paraId="705F110F" w14:textId="435BBD92" w:rsidTr="003C332E">
        <w:tc>
          <w:tcPr>
            <w:tcW w:w="5046" w:type="dxa"/>
          </w:tcPr>
          <w:p w14:paraId="2C5267A6" w14:textId="1405E2DF"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blackmail </w:t>
            </w:r>
          </w:p>
        </w:tc>
        <w:tc>
          <w:tcPr>
            <w:tcW w:w="4088" w:type="dxa"/>
          </w:tcPr>
          <w:p w14:paraId="31845B30" w14:textId="40DD32F1"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敲诈</w:t>
            </w:r>
          </w:p>
        </w:tc>
      </w:tr>
      <w:tr w:rsidR="0070304B" w:rsidRPr="0070304B" w14:paraId="4CD92D60" w14:textId="3DAB1DCC" w:rsidTr="003C332E">
        <w:tc>
          <w:tcPr>
            <w:tcW w:w="5046" w:type="dxa"/>
          </w:tcPr>
          <w:p w14:paraId="0A1E70C7" w14:textId="2E8EAA46" w:rsidR="0070304B" w:rsidRPr="0070304B" w:rsidRDefault="0070304B" w:rsidP="00992944">
            <w:pPr>
              <w:contextualSpacing w:val="0"/>
              <w:rPr>
                <w:color w:val="212529"/>
                <w:highlight w:val="white"/>
              </w:rPr>
            </w:pPr>
            <w:proofErr w:type="spellStart"/>
            <w:r w:rsidRPr="0070304B">
              <w:rPr>
                <w:rFonts w:ascii="Arial Unicode MS" w:eastAsia="Arial Unicode MS" w:hAnsi="Arial Unicode MS" w:cs="Arial Unicode MS"/>
                <w:color w:val="212529"/>
                <w:highlight w:val="white"/>
              </w:rPr>
              <w:t>Maslowian</w:t>
            </w:r>
            <w:proofErr w:type="spellEnd"/>
            <w:r w:rsidRPr="0070304B">
              <w:rPr>
                <w:rFonts w:ascii="Arial Unicode MS" w:eastAsia="Arial Unicode MS" w:hAnsi="Arial Unicode MS" w:cs="Arial Unicode MS"/>
                <w:color w:val="212529"/>
                <w:highlight w:val="white"/>
              </w:rPr>
              <w:t xml:space="preserve"> Hierarchy </w:t>
            </w:r>
          </w:p>
        </w:tc>
        <w:tc>
          <w:tcPr>
            <w:tcW w:w="4088" w:type="dxa"/>
          </w:tcPr>
          <w:p w14:paraId="68A30162" w14:textId="3227117A"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马斯洛的层次结构</w:t>
            </w:r>
          </w:p>
        </w:tc>
      </w:tr>
      <w:tr w:rsidR="0070304B" w:rsidRPr="0070304B" w14:paraId="413EE1CC" w14:textId="50790A7B" w:rsidTr="003C332E">
        <w:tc>
          <w:tcPr>
            <w:tcW w:w="5046" w:type="dxa"/>
          </w:tcPr>
          <w:p w14:paraId="42AEA6B9" w14:textId="37F5E101"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self-actualization </w:t>
            </w:r>
          </w:p>
        </w:tc>
        <w:tc>
          <w:tcPr>
            <w:tcW w:w="4088" w:type="dxa"/>
          </w:tcPr>
          <w:p w14:paraId="4E93F084" w14:textId="6EC5BEC6"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自我实现</w:t>
            </w:r>
          </w:p>
        </w:tc>
      </w:tr>
      <w:tr w:rsidR="0070304B" w:rsidRPr="0070304B" w14:paraId="6F0D3E33" w14:textId="1C7EDE02" w:rsidTr="003C332E">
        <w:tc>
          <w:tcPr>
            <w:tcW w:w="5046" w:type="dxa"/>
          </w:tcPr>
          <w:p w14:paraId="246919BD" w14:textId="1ADD4B1D"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data privacy </w:t>
            </w:r>
          </w:p>
        </w:tc>
        <w:tc>
          <w:tcPr>
            <w:tcW w:w="4088" w:type="dxa"/>
          </w:tcPr>
          <w:p w14:paraId="4A17B556" w14:textId="36975B59"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数据隐私</w:t>
            </w:r>
          </w:p>
        </w:tc>
      </w:tr>
      <w:tr w:rsidR="0070304B" w:rsidRPr="0070304B" w14:paraId="3AFE4756" w14:textId="0A949071" w:rsidTr="003C332E">
        <w:tc>
          <w:tcPr>
            <w:tcW w:w="5046" w:type="dxa"/>
          </w:tcPr>
          <w:p w14:paraId="6A1822DC" w14:textId="23E362D6"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media privacy </w:t>
            </w:r>
          </w:p>
        </w:tc>
        <w:tc>
          <w:tcPr>
            <w:tcW w:w="4088" w:type="dxa"/>
          </w:tcPr>
          <w:p w14:paraId="0075FD9F" w14:textId="65536E94"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媒体隐私</w:t>
            </w:r>
          </w:p>
        </w:tc>
      </w:tr>
      <w:tr w:rsidR="0070304B" w:rsidRPr="0070304B" w14:paraId="486917BE" w14:textId="498F6393" w:rsidTr="003C332E">
        <w:tc>
          <w:tcPr>
            <w:tcW w:w="5046" w:type="dxa"/>
          </w:tcPr>
          <w:p w14:paraId="480379EB" w14:textId="15433862"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bodily privacy </w:t>
            </w:r>
          </w:p>
        </w:tc>
        <w:tc>
          <w:tcPr>
            <w:tcW w:w="4088" w:type="dxa"/>
          </w:tcPr>
          <w:p w14:paraId="1CEBDBB1" w14:textId="4ED6C2C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身体隐私</w:t>
            </w:r>
          </w:p>
        </w:tc>
      </w:tr>
      <w:tr w:rsidR="0070304B" w:rsidRPr="0070304B" w14:paraId="368715B0" w14:textId="1F57D9B6" w:rsidTr="003C332E">
        <w:tc>
          <w:tcPr>
            <w:tcW w:w="5046" w:type="dxa"/>
          </w:tcPr>
          <w:p w14:paraId="02C0B908" w14:textId="7EA06AB8"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interception privacy</w:t>
            </w:r>
          </w:p>
        </w:tc>
        <w:tc>
          <w:tcPr>
            <w:tcW w:w="4088" w:type="dxa"/>
          </w:tcPr>
          <w:p w14:paraId="0847EEBE" w14:textId="6B2B1A24"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拦截隐私</w:t>
            </w:r>
          </w:p>
        </w:tc>
      </w:tr>
      <w:tr w:rsidR="0070304B" w:rsidRPr="0070304B" w14:paraId="00570E23" w14:textId="4A9E9769" w:rsidTr="003C332E">
        <w:tc>
          <w:tcPr>
            <w:tcW w:w="5046" w:type="dxa"/>
          </w:tcPr>
          <w:p w14:paraId="7757DA1A" w14:textId="2BABE585"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worrisome </w:t>
            </w:r>
          </w:p>
        </w:tc>
        <w:tc>
          <w:tcPr>
            <w:tcW w:w="4088" w:type="dxa"/>
          </w:tcPr>
          <w:p w14:paraId="41236D50" w14:textId="7C90E047"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令人不安的</w:t>
            </w:r>
          </w:p>
        </w:tc>
      </w:tr>
      <w:tr w:rsidR="0070304B" w:rsidRPr="0070304B" w14:paraId="1497241A" w14:textId="07256B8F" w:rsidTr="003C332E">
        <w:tc>
          <w:tcPr>
            <w:tcW w:w="5046" w:type="dxa"/>
          </w:tcPr>
          <w:p w14:paraId="26C5FD67" w14:textId="6DF4E40B"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suspicion </w:t>
            </w:r>
          </w:p>
        </w:tc>
        <w:tc>
          <w:tcPr>
            <w:tcW w:w="4088" w:type="dxa"/>
          </w:tcPr>
          <w:p w14:paraId="419C0A17" w14:textId="66DD5E9F"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怀疑</w:t>
            </w:r>
          </w:p>
        </w:tc>
      </w:tr>
      <w:tr w:rsidR="0070304B" w:rsidRPr="0070304B" w14:paraId="020F7688" w14:textId="1A3BF697" w:rsidTr="003C332E">
        <w:tc>
          <w:tcPr>
            <w:tcW w:w="5046" w:type="dxa"/>
          </w:tcPr>
          <w:p w14:paraId="0550A67B" w14:textId="11EFC4AA"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cyber predators </w:t>
            </w:r>
          </w:p>
        </w:tc>
        <w:tc>
          <w:tcPr>
            <w:tcW w:w="4088" w:type="dxa"/>
          </w:tcPr>
          <w:p w14:paraId="096FB75B" w14:textId="3658710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网络捕食者</w:t>
            </w:r>
          </w:p>
        </w:tc>
      </w:tr>
      <w:tr w:rsidR="0070304B" w:rsidRPr="0070304B" w14:paraId="72BA0AC5" w14:textId="1DD9CFE3" w:rsidTr="003C332E">
        <w:tc>
          <w:tcPr>
            <w:tcW w:w="5046" w:type="dxa"/>
          </w:tcPr>
          <w:p w14:paraId="2642FB93" w14:textId="2E5D6BE0"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chasing fugitives </w:t>
            </w:r>
          </w:p>
        </w:tc>
        <w:tc>
          <w:tcPr>
            <w:tcW w:w="4088" w:type="dxa"/>
          </w:tcPr>
          <w:p w14:paraId="48090949" w14:textId="51004292"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追捕逃犯</w:t>
            </w:r>
          </w:p>
        </w:tc>
      </w:tr>
      <w:tr w:rsidR="0070304B" w:rsidRPr="0070304B" w14:paraId="2D8959D5" w14:textId="1DB61CD9" w:rsidTr="003C332E">
        <w:tc>
          <w:tcPr>
            <w:tcW w:w="5046" w:type="dxa"/>
          </w:tcPr>
          <w:p w14:paraId="663C2CA3" w14:textId="1CBC3761"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prosecuting criminals </w:t>
            </w:r>
          </w:p>
        </w:tc>
        <w:tc>
          <w:tcPr>
            <w:tcW w:w="4088" w:type="dxa"/>
          </w:tcPr>
          <w:p w14:paraId="6E7D76D0" w14:textId="7BA5492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起诉罪犯</w:t>
            </w:r>
          </w:p>
        </w:tc>
      </w:tr>
      <w:tr w:rsidR="0070304B" w:rsidRPr="0070304B" w14:paraId="2E2B47A1" w14:textId="5E43FC6D" w:rsidTr="003C332E">
        <w:tc>
          <w:tcPr>
            <w:tcW w:w="5046" w:type="dxa"/>
          </w:tcPr>
          <w:p w14:paraId="09481A72" w14:textId="3BCA3A62"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tracking terrorists </w:t>
            </w:r>
          </w:p>
        </w:tc>
        <w:tc>
          <w:tcPr>
            <w:tcW w:w="4088" w:type="dxa"/>
          </w:tcPr>
          <w:p w14:paraId="7137CCF8" w14:textId="582EA1E2"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追踪恐怖分子</w:t>
            </w:r>
          </w:p>
        </w:tc>
      </w:tr>
      <w:tr w:rsidR="0070304B" w:rsidRPr="0070304B" w14:paraId="1F1E6F4E" w14:textId="04BF2B1A" w:rsidTr="003C332E">
        <w:tc>
          <w:tcPr>
            <w:tcW w:w="5046" w:type="dxa"/>
          </w:tcPr>
          <w:p w14:paraId="4D67B884" w14:textId="10676ADD"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interrogation techniques </w:t>
            </w:r>
          </w:p>
        </w:tc>
        <w:tc>
          <w:tcPr>
            <w:tcW w:w="4088" w:type="dxa"/>
          </w:tcPr>
          <w:p w14:paraId="34E5323A" w14:textId="6A7B5C9A"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审讯技巧</w:t>
            </w:r>
          </w:p>
        </w:tc>
      </w:tr>
      <w:tr w:rsidR="0070304B" w:rsidRPr="0070304B" w14:paraId="4BA02391" w14:textId="57C4B43C" w:rsidTr="003C332E">
        <w:tc>
          <w:tcPr>
            <w:tcW w:w="5046" w:type="dxa"/>
          </w:tcPr>
          <w:p w14:paraId="6DA0C485" w14:textId="3635FC7D" w:rsidR="0070304B" w:rsidRPr="0070304B" w:rsidRDefault="0070304B" w:rsidP="00992944">
            <w:pPr>
              <w:contextualSpacing w:val="0"/>
              <w:rPr>
                <w:color w:val="212529"/>
                <w:highlight w:val="white"/>
              </w:rPr>
            </w:pPr>
            <w:proofErr w:type="spellStart"/>
            <w:r w:rsidRPr="0070304B">
              <w:rPr>
                <w:rFonts w:ascii="Arial Unicode MS" w:eastAsia="Arial Unicode MS" w:hAnsi="Arial Unicode MS" w:cs="Arial Unicode MS"/>
                <w:color w:val="212529"/>
                <w:highlight w:val="white"/>
              </w:rPr>
              <w:t>whistleblower</w:t>
            </w:r>
            <w:proofErr w:type="spellEnd"/>
            <w:r w:rsidRPr="0070304B">
              <w:rPr>
                <w:rFonts w:ascii="Arial Unicode MS" w:eastAsia="Arial Unicode MS" w:hAnsi="Arial Unicode MS" w:cs="Arial Unicode MS"/>
                <w:color w:val="212529"/>
                <w:highlight w:val="white"/>
              </w:rPr>
              <w:t xml:space="preserve"> </w:t>
            </w:r>
          </w:p>
        </w:tc>
        <w:tc>
          <w:tcPr>
            <w:tcW w:w="4088" w:type="dxa"/>
          </w:tcPr>
          <w:p w14:paraId="3043417B" w14:textId="50242811"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告密者</w:t>
            </w:r>
          </w:p>
        </w:tc>
      </w:tr>
      <w:tr w:rsidR="0070304B" w:rsidRPr="0070304B" w14:paraId="522382A4" w14:textId="1F33E3CD" w:rsidTr="003C332E">
        <w:tc>
          <w:tcPr>
            <w:tcW w:w="5046" w:type="dxa"/>
          </w:tcPr>
          <w:p w14:paraId="59815840" w14:textId="26AE2FFE"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metadata </w:t>
            </w:r>
          </w:p>
        </w:tc>
        <w:tc>
          <w:tcPr>
            <w:tcW w:w="4088" w:type="dxa"/>
          </w:tcPr>
          <w:p w14:paraId="24B6FA54" w14:textId="0373DCF9"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元数据</w:t>
            </w:r>
          </w:p>
        </w:tc>
      </w:tr>
      <w:tr w:rsidR="0070304B" w:rsidRPr="0070304B" w14:paraId="372C17A6" w14:textId="1AAE2D9A" w:rsidTr="003C332E">
        <w:tc>
          <w:tcPr>
            <w:tcW w:w="5046" w:type="dxa"/>
          </w:tcPr>
          <w:p w14:paraId="37579CEE" w14:textId="0B9971BD"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PRISM scheme </w:t>
            </w:r>
          </w:p>
        </w:tc>
        <w:tc>
          <w:tcPr>
            <w:tcW w:w="4088" w:type="dxa"/>
          </w:tcPr>
          <w:p w14:paraId="2718328E" w14:textId="18AD213A"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“棱镜”计划</w:t>
            </w:r>
          </w:p>
        </w:tc>
      </w:tr>
      <w:tr w:rsidR="0070304B" w:rsidRPr="0070304B" w14:paraId="19243C4E" w14:textId="6658419B" w:rsidTr="003C332E">
        <w:tc>
          <w:tcPr>
            <w:tcW w:w="5046" w:type="dxa"/>
          </w:tcPr>
          <w:p w14:paraId="31941632" w14:textId="519F697E"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datafication  </w:t>
            </w:r>
          </w:p>
        </w:tc>
        <w:tc>
          <w:tcPr>
            <w:tcW w:w="4088" w:type="dxa"/>
          </w:tcPr>
          <w:p w14:paraId="62D9D736" w14:textId="6B9EF404"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数据化</w:t>
            </w:r>
          </w:p>
        </w:tc>
      </w:tr>
      <w:tr w:rsidR="0070304B" w:rsidRPr="0070304B" w14:paraId="5641F029" w14:textId="5A220EC7" w:rsidTr="003C332E">
        <w:tc>
          <w:tcPr>
            <w:tcW w:w="5046" w:type="dxa"/>
          </w:tcPr>
          <w:p w14:paraId="1E2A4265" w14:textId="3C7CDDA1"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normalization </w:t>
            </w:r>
          </w:p>
        </w:tc>
        <w:tc>
          <w:tcPr>
            <w:tcW w:w="4088" w:type="dxa"/>
          </w:tcPr>
          <w:p w14:paraId="679DD22A" w14:textId="1D4F4547"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常态化</w:t>
            </w:r>
          </w:p>
        </w:tc>
      </w:tr>
      <w:tr w:rsidR="0070304B" w:rsidRPr="0070304B" w14:paraId="3CB85CF3" w14:textId="2C948859" w:rsidTr="003C332E">
        <w:tc>
          <w:tcPr>
            <w:tcW w:w="5046" w:type="dxa"/>
          </w:tcPr>
          <w:p w14:paraId="3AA73C12" w14:textId="51DC393F"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ideological </w:t>
            </w:r>
          </w:p>
        </w:tc>
        <w:tc>
          <w:tcPr>
            <w:tcW w:w="4088" w:type="dxa"/>
          </w:tcPr>
          <w:p w14:paraId="593F982B" w14:textId="088D0007"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意识形态</w:t>
            </w:r>
          </w:p>
        </w:tc>
      </w:tr>
      <w:tr w:rsidR="0070304B" w:rsidRPr="0070304B" w14:paraId="37F7C95E" w14:textId="77BDA1A7" w:rsidTr="003C332E">
        <w:tc>
          <w:tcPr>
            <w:tcW w:w="5046" w:type="dxa"/>
          </w:tcPr>
          <w:p w14:paraId="07D2AB06" w14:textId="13F3048C"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ontological </w:t>
            </w:r>
          </w:p>
        </w:tc>
        <w:tc>
          <w:tcPr>
            <w:tcW w:w="4088" w:type="dxa"/>
          </w:tcPr>
          <w:p w14:paraId="40EF836C" w14:textId="6D021F8F"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存在论</w:t>
            </w:r>
          </w:p>
        </w:tc>
      </w:tr>
      <w:tr w:rsidR="0070304B" w:rsidRPr="0070304B" w14:paraId="4756CE66" w14:textId="3F919489" w:rsidTr="003C332E">
        <w:tc>
          <w:tcPr>
            <w:tcW w:w="5046" w:type="dxa"/>
          </w:tcPr>
          <w:p w14:paraId="37F4D9DD" w14:textId="478591A8"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epistemological </w:t>
            </w:r>
          </w:p>
        </w:tc>
        <w:tc>
          <w:tcPr>
            <w:tcW w:w="4088" w:type="dxa"/>
          </w:tcPr>
          <w:p w14:paraId="4EFC1E7D" w14:textId="6A31BEA8"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认识论</w:t>
            </w:r>
          </w:p>
        </w:tc>
      </w:tr>
      <w:tr w:rsidR="0070304B" w:rsidRPr="0070304B" w14:paraId="6BF94323" w14:textId="392A8FA1" w:rsidTr="003C332E">
        <w:tc>
          <w:tcPr>
            <w:tcW w:w="5046" w:type="dxa"/>
          </w:tcPr>
          <w:p w14:paraId="6838F419" w14:textId="46B1C513"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lastRenderedPageBreak/>
              <w:t xml:space="preserve">spontaneous </w:t>
            </w:r>
          </w:p>
        </w:tc>
        <w:tc>
          <w:tcPr>
            <w:tcW w:w="4088" w:type="dxa"/>
          </w:tcPr>
          <w:p w14:paraId="30D4F4BF" w14:textId="2CE23428"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自发的</w:t>
            </w:r>
          </w:p>
        </w:tc>
      </w:tr>
      <w:tr w:rsidR="0070304B" w:rsidRPr="0070304B" w14:paraId="6F67F32B" w14:textId="74BE1462" w:rsidTr="003C332E">
        <w:tc>
          <w:tcPr>
            <w:tcW w:w="5046" w:type="dxa"/>
          </w:tcPr>
          <w:p w14:paraId="549190AC" w14:textId="667F7CD9"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personalization </w:t>
            </w:r>
          </w:p>
        </w:tc>
        <w:tc>
          <w:tcPr>
            <w:tcW w:w="4088" w:type="dxa"/>
          </w:tcPr>
          <w:p w14:paraId="3B20DB01" w14:textId="43E57503"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个性化</w:t>
            </w:r>
          </w:p>
        </w:tc>
      </w:tr>
      <w:tr w:rsidR="0070304B" w:rsidRPr="0070304B" w14:paraId="563E3CE3" w14:textId="767E8250" w:rsidTr="003C332E">
        <w:tc>
          <w:tcPr>
            <w:tcW w:w="5046" w:type="dxa"/>
          </w:tcPr>
          <w:p w14:paraId="01E8ACEA" w14:textId="7540F025"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customization </w:t>
            </w:r>
          </w:p>
        </w:tc>
        <w:tc>
          <w:tcPr>
            <w:tcW w:w="4088" w:type="dxa"/>
          </w:tcPr>
          <w:p w14:paraId="6E5A25CE" w14:textId="5749B0A1"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专用化</w:t>
            </w:r>
          </w:p>
        </w:tc>
      </w:tr>
      <w:tr w:rsidR="0070304B" w:rsidRPr="0070304B" w14:paraId="5DA0F67C" w14:textId="13693BA9" w:rsidTr="003C332E">
        <w:tc>
          <w:tcPr>
            <w:tcW w:w="5046" w:type="dxa"/>
          </w:tcPr>
          <w:p w14:paraId="2CB2ACEE" w14:textId="60B9827C"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prefigures </w:t>
            </w:r>
          </w:p>
        </w:tc>
        <w:tc>
          <w:tcPr>
            <w:tcW w:w="4088" w:type="dxa"/>
          </w:tcPr>
          <w:p w14:paraId="4722848E" w14:textId="47CFB181"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预示</w:t>
            </w:r>
          </w:p>
        </w:tc>
      </w:tr>
      <w:tr w:rsidR="0070304B" w:rsidRPr="0070304B" w14:paraId="02E172A8" w14:textId="12442457" w:rsidTr="003C332E">
        <w:tc>
          <w:tcPr>
            <w:tcW w:w="5046" w:type="dxa"/>
          </w:tcPr>
          <w:p w14:paraId="031CCC97" w14:textId="5716E25F"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ubiquitous </w:t>
            </w:r>
          </w:p>
        </w:tc>
        <w:tc>
          <w:tcPr>
            <w:tcW w:w="4088" w:type="dxa"/>
          </w:tcPr>
          <w:p w14:paraId="5B32CE88" w14:textId="23F74316"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无处不在的</w:t>
            </w:r>
          </w:p>
        </w:tc>
      </w:tr>
      <w:tr w:rsidR="0070304B" w:rsidRPr="0070304B" w14:paraId="5BB66A38" w14:textId="472A28B3" w:rsidTr="003C332E">
        <w:tc>
          <w:tcPr>
            <w:tcW w:w="5046" w:type="dxa"/>
          </w:tcPr>
          <w:p w14:paraId="1DF85A8C" w14:textId="0805033E" w:rsidR="0070304B" w:rsidRPr="0070304B" w:rsidRDefault="00747395" w:rsidP="00992944">
            <w:pPr>
              <w:contextualSpacing w:val="0"/>
              <w:rPr>
                <w:color w:val="212529"/>
                <w:highlight w:val="white"/>
              </w:rPr>
            </w:pPr>
            <w:proofErr w:type="spellStart"/>
            <w:r>
              <w:rPr>
                <w:rFonts w:ascii="Arial Unicode MS" w:eastAsia="Arial Unicode MS" w:hAnsi="Arial Unicode MS" w:cs="Arial Unicode MS"/>
                <w:color w:val="212529"/>
                <w:highlight w:val="white"/>
              </w:rPr>
              <w:t>datai</w:t>
            </w:r>
            <w:r w:rsidR="0070304B" w:rsidRPr="0070304B">
              <w:rPr>
                <w:rFonts w:ascii="Arial Unicode MS" w:eastAsia="Arial Unicode MS" w:hAnsi="Arial Unicode MS" w:cs="Arial Unicode MS"/>
                <w:color w:val="212529"/>
                <w:highlight w:val="white"/>
              </w:rPr>
              <w:t>sm</w:t>
            </w:r>
            <w:proofErr w:type="spellEnd"/>
            <w:r w:rsidR="0070304B" w:rsidRPr="0070304B">
              <w:rPr>
                <w:rFonts w:ascii="Arial Unicode MS" w:eastAsia="Arial Unicode MS" w:hAnsi="Arial Unicode MS" w:cs="Arial Unicode MS"/>
                <w:color w:val="212529"/>
                <w:highlight w:val="white"/>
              </w:rPr>
              <w:t xml:space="preserve"> </w:t>
            </w:r>
          </w:p>
        </w:tc>
        <w:tc>
          <w:tcPr>
            <w:tcW w:w="4088" w:type="dxa"/>
          </w:tcPr>
          <w:p w14:paraId="37682715" w14:textId="3DDF67C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数据主义</w:t>
            </w:r>
          </w:p>
        </w:tc>
      </w:tr>
      <w:tr w:rsidR="0070304B" w:rsidRPr="0070304B" w14:paraId="60B9575F" w14:textId="31B0121E" w:rsidTr="003C332E">
        <w:tc>
          <w:tcPr>
            <w:tcW w:w="5046" w:type="dxa"/>
          </w:tcPr>
          <w:p w14:paraId="0015D5D7" w14:textId="7888637E"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apparatuses </w:t>
            </w:r>
          </w:p>
        </w:tc>
        <w:tc>
          <w:tcPr>
            <w:tcW w:w="4088" w:type="dxa"/>
          </w:tcPr>
          <w:p w14:paraId="4AB3D94C" w14:textId="235DBEFA"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机构</w:t>
            </w:r>
          </w:p>
        </w:tc>
      </w:tr>
      <w:tr w:rsidR="0070304B" w:rsidRPr="0070304B" w14:paraId="28A24CC2" w14:textId="70A40EA0" w:rsidTr="003C332E">
        <w:tc>
          <w:tcPr>
            <w:tcW w:w="5046" w:type="dxa"/>
          </w:tcPr>
          <w:p w14:paraId="4159AF2E" w14:textId="5F4934A6"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tripartite </w:t>
            </w:r>
          </w:p>
        </w:tc>
        <w:tc>
          <w:tcPr>
            <w:tcW w:w="4088" w:type="dxa"/>
          </w:tcPr>
          <w:p w14:paraId="60D1FE0B" w14:textId="1675A809"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三方</w:t>
            </w:r>
          </w:p>
        </w:tc>
      </w:tr>
      <w:tr w:rsidR="0070304B" w:rsidRPr="0070304B" w14:paraId="1B143495" w14:textId="730BD7D1" w:rsidTr="003C332E">
        <w:tc>
          <w:tcPr>
            <w:tcW w:w="5046" w:type="dxa"/>
          </w:tcPr>
          <w:p w14:paraId="7567682B" w14:textId="37E98581"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dysfunctional </w:t>
            </w:r>
          </w:p>
        </w:tc>
        <w:tc>
          <w:tcPr>
            <w:tcW w:w="4088" w:type="dxa"/>
          </w:tcPr>
          <w:p w14:paraId="28635561" w14:textId="14B380C2"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功能失调</w:t>
            </w:r>
          </w:p>
        </w:tc>
      </w:tr>
      <w:tr w:rsidR="0070304B" w:rsidRPr="0070304B" w14:paraId="2395A611" w14:textId="05CF25CF" w:rsidTr="003C332E">
        <w:tc>
          <w:tcPr>
            <w:tcW w:w="5046" w:type="dxa"/>
          </w:tcPr>
          <w:p w14:paraId="7131EE73" w14:textId="1FD83C78"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interchangeable </w:t>
            </w:r>
          </w:p>
        </w:tc>
        <w:tc>
          <w:tcPr>
            <w:tcW w:w="4088" w:type="dxa"/>
          </w:tcPr>
          <w:p w14:paraId="76EA392F" w14:textId="45947899"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可交替的</w:t>
            </w:r>
          </w:p>
        </w:tc>
      </w:tr>
      <w:tr w:rsidR="0070304B" w:rsidRPr="0070304B" w14:paraId="7E4CD554" w14:textId="12A0A8C1" w:rsidTr="003C332E">
        <w:tc>
          <w:tcPr>
            <w:tcW w:w="5046" w:type="dxa"/>
          </w:tcPr>
          <w:p w14:paraId="3F10B06B" w14:textId="3CF0B083"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political skirmishes </w:t>
            </w:r>
          </w:p>
        </w:tc>
        <w:tc>
          <w:tcPr>
            <w:tcW w:w="4088" w:type="dxa"/>
          </w:tcPr>
          <w:p w14:paraId="38769E26" w14:textId="78B0649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政治冲突</w:t>
            </w:r>
          </w:p>
        </w:tc>
      </w:tr>
      <w:tr w:rsidR="0070304B" w:rsidRPr="0070304B" w14:paraId="0F20D606" w14:textId="399DEDD3" w:rsidTr="003C332E">
        <w:tc>
          <w:tcPr>
            <w:tcW w:w="5046" w:type="dxa"/>
          </w:tcPr>
          <w:p w14:paraId="64A0FD43" w14:textId="401B7400"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court struggles </w:t>
            </w:r>
          </w:p>
        </w:tc>
        <w:tc>
          <w:tcPr>
            <w:tcW w:w="4088" w:type="dxa"/>
          </w:tcPr>
          <w:p w14:paraId="7AB97F35" w14:textId="783DF7D7"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法庭斗争</w:t>
            </w:r>
          </w:p>
        </w:tc>
      </w:tr>
      <w:tr w:rsidR="0070304B" w:rsidRPr="0070304B" w14:paraId="3DD76B17" w14:textId="39520000" w:rsidTr="003C332E">
        <w:tc>
          <w:tcPr>
            <w:tcW w:w="5046" w:type="dxa"/>
          </w:tcPr>
          <w:p w14:paraId="79BF601E" w14:textId="4230335A"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public debates </w:t>
            </w:r>
          </w:p>
        </w:tc>
        <w:tc>
          <w:tcPr>
            <w:tcW w:w="4088" w:type="dxa"/>
          </w:tcPr>
          <w:p w14:paraId="19D6E1A2" w14:textId="4E2EEA1F"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公开辩论</w:t>
            </w:r>
          </w:p>
        </w:tc>
      </w:tr>
      <w:tr w:rsidR="0070304B" w:rsidRPr="0070304B" w14:paraId="478F78AA" w14:textId="639AD153" w:rsidTr="003C332E">
        <w:tc>
          <w:tcPr>
            <w:tcW w:w="5046" w:type="dxa"/>
          </w:tcPr>
          <w:p w14:paraId="0C342581" w14:textId="4799A01F"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trustworthiness </w:t>
            </w:r>
          </w:p>
        </w:tc>
        <w:tc>
          <w:tcPr>
            <w:tcW w:w="4088" w:type="dxa"/>
          </w:tcPr>
          <w:p w14:paraId="455D5650" w14:textId="6BA0A29F"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可信赖</w:t>
            </w:r>
          </w:p>
        </w:tc>
      </w:tr>
      <w:tr w:rsidR="0070304B" w:rsidRPr="0070304B" w14:paraId="4C7F542B" w14:textId="28C509E4" w:rsidTr="003C332E">
        <w:tc>
          <w:tcPr>
            <w:tcW w:w="5046" w:type="dxa"/>
          </w:tcPr>
          <w:p w14:paraId="6614F170" w14:textId="4EACE50C"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overregulation </w:t>
            </w:r>
          </w:p>
        </w:tc>
        <w:tc>
          <w:tcPr>
            <w:tcW w:w="4088" w:type="dxa"/>
          </w:tcPr>
          <w:p w14:paraId="2A19269A" w14:textId="59DBCE0E"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过度监管</w:t>
            </w:r>
          </w:p>
        </w:tc>
      </w:tr>
      <w:tr w:rsidR="0070304B" w:rsidRPr="0070304B" w14:paraId="0900CD68" w14:textId="21EAB352" w:rsidTr="003C332E">
        <w:tc>
          <w:tcPr>
            <w:tcW w:w="5046" w:type="dxa"/>
          </w:tcPr>
          <w:p w14:paraId="4BCCC079" w14:textId="325027C4"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interdisciplinary </w:t>
            </w:r>
          </w:p>
        </w:tc>
        <w:tc>
          <w:tcPr>
            <w:tcW w:w="4088" w:type="dxa"/>
          </w:tcPr>
          <w:p w14:paraId="43EE0E4E" w14:textId="4812482B"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各学科间的</w:t>
            </w:r>
          </w:p>
        </w:tc>
      </w:tr>
      <w:tr w:rsidR="0070304B" w:rsidRPr="0070304B" w14:paraId="45E4D05A" w14:textId="1EA7A50C" w:rsidTr="003C332E">
        <w:tc>
          <w:tcPr>
            <w:tcW w:w="5046" w:type="dxa"/>
          </w:tcPr>
          <w:p w14:paraId="7ED4D463" w14:textId="085C97B3"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unscrupulous</w:t>
            </w:r>
          </w:p>
        </w:tc>
        <w:tc>
          <w:tcPr>
            <w:tcW w:w="4088" w:type="dxa"/>
          </w:tcPr>
          <w:p w14:paraId="2073879E" w14:textId="6334743C"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不择手段的</w:t>
            </w:r>
          </w:p>
        </w:tc>
      </w:tr>
      <w:tr w:rsidR="0070304B" w:rsidRPr="0070304B" w14:paraId="5AA267F5" w14:textId="0B266C1A" w:rsidTr="003C332E">
        <w:tc>
          <w:tcPr>
            <w:tcW w:w="5046" w:type="dxa"/>
          </w:tcPr>
          <w:p w14:paraId="7619E63B" w14:textId="133A1124"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transaction-triggered  </w:t>
            </w:r>
          </w:p>
        </w:tc>
        <w:tc>
          <w:tcPr>
            <w:tcW w:w="4088" w:type="dxa"/>
          </w:tcPr>
          <w:p w14:paraId="5C0DE1A8" w14:textId="35B06014"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交易触发</w:t>
            </w:r>
          </w:p>
        </w:tc>
      </w:tr>
      <w:tr w:rsidR="0070304B" w:rsidRPr="0070304B" w14:paraId="42894335" w14:textId="1B96DD6C" w:rsidTr="003C332E">
        <w:tc>
          <w:tcPr>
            <w:tcW w:w="5046" w:type="dxa"/>
          </w:tcPr>
          <w:p w14:paraId="237B0C08" w14:textId="5B676E05"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empirical </w:t>
            </w:r>
          </w:p>
        </w:tc>
        <w:tc>
          <w:tcPr>
            <w:tcW w:w="4088" w:type="dxa"/>
          </w:tcPr>
          <w:p w14:paraId="05B94796" w14:textId="29F491D4"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以观察或实验为依据的</w:t>
            </w:r>
          </w:p>
        </w:tc>
      </w:tr>
      <w:tr w:rsidR="0070304B" w:rsidRPr="0070304B" w14:paraId="17C0929F" w14:textId="2FFC06AE" w:rsidTr="003C332E">
        <w:tc>
          <w:tcPr>
            <w:tcW w:w="5046" w:type="dxa"/>
          </w:tcPr>
          <w:p w14:paraId="26E419DA" w14:textId="02FC9774"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authoritative </w:t>
            </w:r>
          </w:p>
        </w:tc>
        <w:tc>
          <w:tcPr>
            <w:tcW w:w="4088" w:type="dxa"/>
          </w:tcPr>
          <w:p w14:paraId="72991C19" w14:textId="2F4AF99C"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权威的</w:t>
            </w:r>
          </w:p>
        </w:tc>
      </w:tr>
      <w:tr w:rsidR="0070304B" w:rsidRPr="0070304B" w14:paraId="22422FC4" w14:textId="76D7D195" w:rsidTr="003C332E">
        <w:tc>
          <w:tcPr>
            <w:tcW w:w="5046" w:type="dxa"/>
          </w:tcPr>
          <w:p w14:paraId="51C589BE" w14:textId="25EAE899"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demographic </w:t>
            </w:r>
          </w:p>
        </w:tc>
        <w:tc>
          <w:tcPr>
            <w:tcW w:w="4088" w:type="dxa"/>
          </w:tcPr>
          <w:p w14:paraId="50902D8D" w14:textId="3FE9EADB"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人口统计学的</w:t>
            </w:r>
          </w:p>
        </w:tc>
      </w:tr>
      <w:tr w:rsidR="0070304B" w:rsidRPr="0070304B" w14:paraId="0FF86585" w14:textId="46304DC5" w:rsidTr="003C332E">
        <w:tc>
          <w:tcPr>
            <w:tcW w:w="5046" w:type="dxa"/>
          </w:tcPr>
          <w:p w14:paraId="602F41B3" w14:textId="1A2C99C2"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discriminatory </w:t>
            </w:r>
          </w:p>
        </w:tc>
        <w:tc>
          <w:tcPr>
            <w:tcW w:w="4088" w:type="dxa"/>
          </w:tcPr>
          <w:p w14:paraId="46244659" w14:textId="3C136FA2"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有识别力的</w:t>
            </w:r>
          </w:p>
        </w:tc>
      </w:tr>
      <w:tr w:rsidR="0070304B" w:rsidRPr="0070304B" w14:paraId="147013D6" w14:textId="78AB9E9E" w:rsidTr="003C332E">
        <w:tc>
          <w:tcPr>
            <w:tcW w:w="5046" w:type="dxa"/>
          </w:tcPr>
          <w:p w14:paraId="475B4B99" w14:textId="7D886896"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electronic redlining </w:t>
            </w:r>
          </w:p>
        </w:tc>
        <w:tc>
          <w:tcPr>
            <w:tcW w:w="4088" w:type="dxa"/>
          </w:tcPr>
          <w:p w14:paraId="6AF10EE1" w14:textId="75213401"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电子歧视</w:t>
            </w:r>
          </w:p>
        </w:tc>
      </w:tr>
      <w:tr w:rsidR="0070304B" w:rsidRPr="0070304B" w14:paraId="18575E1A" w14:textId="3CD4B4C4" w:rsidTr="003C332E">
        <w:tc>
          <w:tcPr>
            <w:tcW w:w="5046" w:type="dxa"/>
          </w:tcPr>
          <w:p w14:paraId="2AB5B7C2" w14:textId="47EDFB87"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segmentation </w:t>
            </w:r>
          </w:p>
        </w:tc>
        <w:tc>
          <w:tcPr>
            <w:tcW w:w="4088" w:type="dxa"/>
          </w:tcPr>
          <w:p w14:paraId="472793C0" w14:textId="0FD73965"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分割</w:t>
            </w:r>
          </w:p>
        </w:tc>
      </w:tr>
      <w:tr w:rsidR="0070304B" w:rsidRPr="0070304B" w14:paraId="285597EC" w14:textId="545C10B4" w:rsidTr="003C332E">
        <w:tc>
          <w:tcPr>
            <w:tcW w:w="5046" w:type="dxa"/>
          </w:tcPr>
          <w:p w14:paraId="6AC1D001" w14:textId="4B0001CC"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highlight w:val="white"/>
              </w:rPr>
              <w:t xml:space="preserve">marginalisation </w:t>
            </w:r>
          </w:p>
        </w:tc>
        <w:tc>
          <w:tcPr>
            <w:tcW w:w="4088" w:type="dxa"/>
          </w:tcPr>
          <w:p w14:paraId="6AF9AF11" w14:textId="5A51BDA2"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边缘化</w:t>
            </w:r>
          </w:p>
        </w:tc>
      </w:tr>
      <w:tr w:rsidR="0070304B" w:rsidRPr="0070304B" w14:paraId="2599C471" w14:textId="07BE0BAD" w:rsidTr="003C332E">
        <w:tc>
          <w:tcPr>
            <w:tcW w:w="5046" w:type="dxa"/>
          </w:tcPr>
          <w:p w14:paraId="76B1FF3D" w14:textId="3F79DE82"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incomprehensibility </w:t>
            </w:r>
          </w:p>
        </w:tc>
        <w:tc>
          <w:tcPr>
            <w:tcW w:w="4088" w:type="dxa"/>
          </w:tcPr>
          <w:p w14:paraId="20D29FED" w14:textId="415A0961"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不可思议</w:t>
            </w:r>
          </w:p>
        </w:tc>
      </w:tr>
      <w:tr w:rsidR="0070304B" w:rsidRPr="0070304B" w14:paraId="266A9C29" w14:textId="4B4E03CA" w:rsidTr="003C332E">
        <w:tc>
          <w:tcPr>
            <w:tcW w:w="5046" w:type="dxa"/>
          </w:tcPr>
          <w:p w14:paraId="1711F181" w14:textId="06F5D22A"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totalitarian </w:t>
            </w:r>
          </w:p>
        </w:tc>
        <w:tc>
          <w:tcPr>
            <w:tcW w:w="4088" w:type="dxa"/>
          </w:tcPr>
          <w:p w14:paraId="0AF43B2C" w14:textId="1F8C533A"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极权主义的</w:t>
            </w:r>
          </w:p>
        </w:tc>
      </w:tr>
      <w:tr w:rsidR="0070304B" w:rsidRPr="0070304B" w14:paraId="01B5AD3D" w14:textId="568EB1D8" w:rsidTr="003C332E">
        <w:tc>
          <w:tcPr>
            <w:tcW w:w="5046" w:type="dxa"/>
          </w:tcPr>
          <w:p w14:paraId="62F59082" w14:textId="678DF0CE"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disembodied </w:t>
            </w:r>
          </w:p>
        </w:tc>
        <w:tc>
          <w:tcPr>
            <w:tcW w:w="4088" w:type="dxa"/>
          </w:tcPr>
          <w:p w14:paraId="3B49816A" w14:textId="4B5C04B3"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脱离实体的</w:t>
            </w:r>
          </w:p>
        </w:tc>
      </w:tr>
      <w:tr w:rsidR="0070304B" w:rsidRPr="0070304B" w14:paraId="38FACA4F" w14:textId="0DF68019" w:rsidTr="003C332E">
        <w:tc>
          <w:tcPr>
            <w:tcW w:w="5046" w:type="dxa"/>
          </w:tcPr>
          <w:p w14:paraId="31C3A0C1" w14:textId="0620AEF0"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inter-organisational </w:t>
            </w:r>
          </w:p>
        </w:tc>
        <w:tc>
          <w:tcPr>
            <w:tcW w:w="4088" w:type="dxa"/>
          </w:tcPr>
          <w:p w14:paraId="449D0896" w14:textId="2EE3D4C0"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组织间</w:t>
            </w:r>
          </w:p>
        </w:tc>
      </w:tr>
      <w:tr w:rsidR="0070304B" w:rsidRPr="0070304B" w14:paraId="33981418" w14:textId="575F4399" w:rsidTr="003C332E">
        <w:tc>
          <w:tcPr>
            <w:tcW w:w="5046" w:type="dxa"/>
          </w:tcPr>
          <w:p w14:paraId="082FFA0A" w14:textId="7D77112E"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inter-jurisdictional </w:t>
            </w:r>
          </w:p>
        </w:tc>
        <w:tc>
          <w:tcPr>
            <w:tcW w:w="4088" w:type="dxa"/>
          </w:tcPr>
          <w:p w14:paraId="7CB12E01" w14:textId="5BDB016D"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辖区间</w:t>
            </w:r>
          </w:p>
        </w:tc>
      </w:tr>
      <w:tr w:rsidR="0070304B" w:rsidRPr="0070304B" w14:paraId="16DCF5FE" w14:textId="343ECC02" w:rsidTr="003C332E">
        <w:tc>
          <w:tcPr>
            <w:tcW w:w="5046" w:type="dxa"/>
          </w:tcPr>
          <w:p w14:paraId="6C47BAFA" w14:textId="6F0B6CFF"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bilateral </w:t>
            </w:r>
          </w:p>
        </w:tc>
        <w:tc>
          <w:tcPr>
            <w:tcW w:w="4088" w:type="dxa"/>
          </w:tcPr>
          <w:p w14:paraId="68253514" w14:textId="246153BF"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双边的</w:t>
            </w:r>
          </w:p>
        </w:tc>
      </w:tr>
      <w:tr w:rsidR="0070304B" w:rsidRPr="0070304B" w14:paraId="68A9E03A" w14:textId="76721DA0" w:rsidTr="003C332E">
        <w:tc>
          <w:tcPr>
            <w:tcW w:w="5046" w:type="dxa"/>
          </w:tcPr>
          <w:p w14:paraId="35D5DDC7" w14:textId="057DC890"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multilateral </w:t>
            </w:r>
          </w:p>
        </w:tc>
        <w:tc>
          <w:tcPr>
            <w:tcW w:w="4088" w:type="dxa"/>
          </w:tcPr>
          <w:p w14:paraId="12E76968" w14:textId="4583FEEC"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多边的</w:t>
            </w:r>
          </w:p>
        </w:tc>
      </w:tr>
      <w:tr w:rsidR="0070304B" w:rsidRPr="0070304B" w14:paraId="5CE0B713" w14:textId="52C36C02" w:rsidTr="003C332E">
        <w:tc>
          <w:tcPr>
            <w:tcW w:w="5046" w:type="dxa"/>
          </w:tcPr>
          <w:p w14:paraId="580BEF1B" w14:textId="53C513B3"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privacy-invasive </w:t>
            </w:r>
          </w:p>
        </w:tc>
        <w:tc>
          <w:tcPr>
            <w:tcW w:w="4088" w:type="dxa"/>
          </w:tcPr>
          <w:p w14:paraId="2E136F88" w14:textId="4A919776"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侵犯隐私</w:t>
            </w:r>
          </w:p>
        </w:tc>
      </w:tr>
      <w:tr w:rsidR="0070304B" w:rsidRPr="0070304B" w14:paraId="20AB6582" w14:textId="3AAA6FFA" w:rsidTr="003C332E">
        <w:tc>
          <w:tcPr>
            <w:tcW w:w="5046" w:type="dxa"/>
          </w:tcPr>
          <w:p w14:paraId="33DC2CB2" w14:textId="395B28B0" w:rsidR="0070304B" w:rsidRPr="0070304B" w:rsidRDefault="0070304B" w:rsidP="00992944">
            <w:pPr>
              <w:contextualSpacing w:val="0"/>
              <w:rPr>
                <w:color w:val="212529"/>
                <w:highlight w:val="white"/>
              </w:rPr>
            </w:pPr>
            <w:r w:rsidRPr="0070304B">
              <w:rPr>
                <w:rFonts w:ascii="Arial Unicode MS" w:eastAsia="Arial Unicode MS" w:hAnsi="Arial Unicode MS" w:cs="Arial Unicode MS"/>
                <w:color w:val="212529"/>
                <w:highlight w:val="white"/>
              </w:rPr>
              <w:t xml:space="preserve">codes of conduct </w:t>
            </w:r>
          </w:p>
        </w:tc>
        <w:tc>
          <w:tcPr>
            <w:tcW w:w="4088" w:type="dxa"/>
          </w:tcPr>
          <w:p w14:paraId="37968CCF" w14:textId="7934B81C" w:rsidR="0070304B" w:rsidRPr="0070304B" w:rsidRDefault="0070304B" w:rsidP="00992944">
            <w:pPr>
              <w:contextualSpacing w:val="0"/>
              <w:rPr>
                <w:rFonts w:ascii="Arial Unicode MS" w:eastAsia="Arial Unicode MS" w:hAnsi="Arial Unicode MS" w:cs="Arial Unicode MS"/>
                <w:color w:val="212529"/>
                <w:highlight w:val="white"/>
              </w:rPr>
            </w:pPr>
            <w:r w:rsidRPr="0070304B">
              <w:rPr>
                <w:rFonts w:ascii="Arial Unicode MS" w:eastAsia="Arial Unicode MS" w:hAnsi="Arial Unicode MS" w:cs="Arial Unicode MS"/>
                <w:color w:val="212529"/>
                <w:highlight w:val="white"/>
              </w:rPr>
              <w:t>行为准则</w:t>
            </w:r>
          </w:p>
        </w:tc>
      </w:tr>
      <w:tr w:rsidR="0070304B" w:rsidRPr="0070304B" w14:paraId="4AA42D79" w14:textId="25A4A383" w:rsidTr="003C332E">
        <w:tc>
          <w:tcPr>
            <w:tcW w:w="5046" w:type="dxa"/>
          </w:tcPr>
          <w:p w14:paraId="6A61F295" w14:textId="211E1B5E" w:rsidR="0070304B" w:rsidRPr="0070304B" w:rsidRDefault="0070304B" w:rsidP="00992944">
            <w:pPr>
              <w:contextualSpacing w:val="0"/>
              <w:rPr>
                <w:highlight w:val="white"/>
              </w:rPr>
            </w:pPr>
            <w:r w:rsidRPr="0070304B">
              <w:rPr>
                <w:rFonts w:ascii="Arial Unicode MS" w:eastAsia="Arial Unicode MS" w:hAnsi="Arial Unicode MS" w:cs="Arial Unicode MS"/>
                <w:highlight w:val="white"/>
              </w:rPr>
              <w:t xml:space="preserve">self-restraint </w:t>
            </w:r>
          </w:p>
        </w:tc>
        <w:tc>
          <w:tcPr>
            <w:tcW w:w="4088" w:type="dxa"/>
          </w:tcPr>
          <w:p w14:paraId="3821A8EA" w14:textId="1B0CA750" w:rsidR="0070304B" w:rsidRPr="0070304B" w:rsidRDefault="0070304B" w:rsidP="00992944">
            <w:pPr>
              <w:contextualSpacing w:val="0"/>
              <w:rPr>
                <w:rFonts w:ascii="Arial Unicode MS" w:eastAsia="Arial Unicode MS" w:hAnsi="Arial Unicode MS" w:cs="Arial Unicode MS"/>
                <w:highlight w:val="white"/>
              </w:rPr>
            </w:pPr>
            <w:r w:rsidRPr="0070304B">
              <w:rPr>
                <w:rFonts w:ascii="Arial Unicode MS" w:eastAsia="Arial Unicode MS" w:hAnsi="Arial Unicode MS" w:cs="Arial Unicode MS"/>
                <w:highlight w:val="white"/>
              </w:rPr>
              <w:t>自我克制</w:t>
            </w:r>
          </w:p>
        </w:tc>
      </w:tr>
    </w:tbl>
    <w:p w14:paraId="30A3BE71" w14:textId="6BAF0D90" w:rsidR="00365391" w:rsidRPr="0070304B" w:rsidRDefault="00365391" w:rsidP="00365391">
      <w:pPr>
        <w:spacing w:before="100" w:beforeAutospacing="1" w:after="100" w:afterAutospacing="1"/>
        <w:rPr>
          <w:b/>
          <w:color w:val="365F91" w:themeColor="accent1" w:themeShade="BF"/>
          <w:sz w:val="24"/>
          <w:szCs w:val="24"/>
          <w:lang w:val="en-AU"/>
        </w:rPr>
      </w:pPr>
      <w:r>
        <w:rPr>
          <w:b/>
          <w:color w:val="365F91" w:themeColor="accent1" w:themeShade="BF"/>
          <w:sz w:val="24"/>
          <w:szCs w:val="24"/>
          <w:lang w:val="en-AU"/>
        </w:rPr>
        <w:lastRenderedPageBreak/>
        <w:t>Summary</w:t>
      </w:r>
    </w:p>
    <w:p w14:paraId="4500CE8D" w14:textId="77777777" w:rsidR="00365391" w:rsidRDefault="00365391" w:rsidP="00365391">
      <w:pPr>
        <w:spacing w:before="100" w:beforeAutospacing="1" w:after="100" w:afterAutospacing="1"/>
        <w:rPr>
          <w:color w:val="000000" w:themeColor="text1"/>
          <w:lang w:val="en-AU"/>
        </w:rPr>
      </w:pPr>
    </w:p>
    <w:p w14:paraId="14CDC0F5" w14:textId="2850F62C" w:rsidR="00365391" w:rsidRPr="00A64F7A" w:rsidRDefault="00365391" w:rsidP="00365391">
      <w:pPr>
        <w:spacing w:before="100" w:beforeAutospacing="1" w:after="100" w:afterAutospacing="1"/>
        <w:rPr>
          <w:rFonts w:ascii="Songti TC" w:eastAsia="Songti TC" w:hAnsi="Songti TC"/>
          <w:color w:val="000000" w:themeColor="text1"/>
          <w:lang w:val="en-AU"/>
        </w:rPr>
      </w:pPr>
      <w:r w:rsidRPr="00A64F7A">
        <w:rPr>
          <w:rFonts w:ascii="Songti TC" w:eastAsia="Songti TC" w:hAnsi="Songti TC" w:hint="eastAsia"/>
          <w:color w:val="000000" w:themeColor="text1"/>
          <w:lang w:val="en-AU"/>
        </w:rPr>
        <w:t>情景：“数据监控”的演讲或者会议。</w:t>
      </w:r>
    </w:p>
    <w:p w14:paraId="34702A8E" w14:textId="77777777" w:rsidR="00365391" w:rsidRPr="00A64F7A" w:rsidRDefault="00365391" w:rsidP="00365391">
      <w:pPr>
        <w:spacing w:before="100" w:beforeAutospacing="1" w:after="100" w:afterAutospacing="1"/>
        <w:rPr>
          <w:rFonts w:ascii="Songti TC" w:eastAsia="Songti TC" w:hAnsi="Songti TC"/>
          <w:color w:val="000000" w:themeColor="text1"/>
          <w:lang w:val="en-AU"/>
        </w:rPr>
      </w:pPr>
      <w:r w:rsidRPr="00A64F7A">
        <w:rPr>
          <w:rFonts w:ascii="Songti TC" w:eastAsia="Songti TC" w:hAnsi="Songti TC" w:hint="eastAsia"/>
          <w:color w:val="000000" w:themeColor="text1"/>
          <w:lang w:val="en-AU"/>
        </w:rPr>
        <w:t>原因：作为一名计算机科学学生，我们要注意伦理道德。“数据监控”就是一个非常敏感的话题，例如Google、Facebook的用户数据监控丑闻，美国的“棱镜”计划。</w:t>
      </w:r>
    </w:p>
    <w:p w14:paraId="2B8E8BAE" w14:textId="761825B9" w:rsidR="00365391" w:rsidRPr="00A64F7A" w:rsidRDefault="00365391" w:rsidP="00365391">
      <w:pPr>
        <w:spacing w:before="100" w:beforeAutospacing="1" w:after="100" w:afterAutospacing="1"/>
        <w:rPr>
          <w:rFonts w:ascii="Songti TC" w:eastAsia="Songti TC" w:hAnsi="Songti TC"/>
          <w:color w:val="000000" w:themeColor="text1"/>
          <w:lang w:val="en-AU"/>
        </w:rPr>
      </w:pPr>
      <w:r w:rsidRPr="00A64F7A">
        <w:rPr>
          <w:rFonts w:ascii="Songti TC" w:eastAsia="Songti TC" w:hAnsi="Songti TC" w:hint="eastAsia"/>
          <w:color w:val="000000" w:themeColor="text1"/>
          <w:lang w:val="en-AU"/>
        </w:rPr>
        <w:t>来源：“数据监控”的文章中选取的，源于网络，一些文章是我的计算机伦理课中建议的。</w:t>
      </w:r>
    </w:p>
    <w:p w14:paraId="176C143C" w14:textId="77777777" w:rsidR="00365391" w:rsidRPr="00365391" w:rsidRDefault="00365391" w:rsidP="00365391">
      <w:pPr>
        <w:spacing w:before="100" w:beforeAutospacing="1" w:after="100" w:afterAutospacing="1"/>
        <w:rPr>
          <w:color w:val="000000" w:themeColor="text1"/>
          <w:lang w:val="en-AU"/>
        </w:rPr>
      </w:pPr>
    </w:p>
    <w:p w14:paraId="706770E3" w14:textId="03CEB1FB" w:rsidR="00FD3DC4" w:rsidRPr="0070304B" w:rsidRDefault="001A4EC0" w:rsidP="00365391">
      <w:pPr>
        <w:spacing w:before="100" w:beforeAutospacing="1" w:after="100" w:afterAutospacing="1"/>
        <w:contextualSpacing w:val="0"/>
        <w:rPr>
          <w:b/>
          <w:color w:val="365F91" w:themeColor="accent1" w:themeShade="BF"/>
          <w:sz w:val="24"/>
          <w:szCs w:val="24"/>
          <w:highlight w:val="white"/>
        </w:rPr>
      </w:pPr>
      <w:r w:rsidRPr="0070304B">
        <w:rPr>
          <w:b/>
          <w:color w:val="365F91" w:themeColor="accent1" w:themeShade="BF"/>
          <w:sz w:val="24"/>
          <w:szCs w:val="24"/>
          <w:highlight w:val="white"/>
        </w:rPr>
        <w:t>References</w:t>
      </w:r>
    </w:p>
    <w:p w14:paraId="208C85FB" w14:textId="413BE3A6" w:rsidR="00FD3DC4" w:rsidRPr="0070304B" w:rsidRDefault="001A4EC0" w:rsidP="0070304B">
      <w:pPr>
        <w:spacing w:after="100" w:afterAutospacing="1"/>
        <w:ind w:left="720" w:hanging="720"/>
        <w:contextualSpacing w:val="0"/>
        <w:rPr>
          <w:rFonts w:ascii="Roboto" w:eastAsia="Roboto" w:hAnsi="Roboto" w:cs="Roboto"/>
          <w:color w:val="212529"/>
          <w:sz w:val="24"/>
          <w:szCs w:val="24"/>
          <w:highlight w:val="white"/>
        </w:rPr>
      </w:pPr>
      <w:r>
        <w:rPr>
          <w:sz w:val="20"/>
          <w:szCs w:val="20"/>
          <w:highlight w:val="white"/>
        </w:rPr>
        <w:t xml:space="preserve">Clarke, R. (2018). </w:t>
      </w:r>
      <w:r>
        <w:rPr>
          <w:i/>
          <w:sz w:val="20"/>
          <w:szCs w:val="20"/>
          <w:highlight w:val="white"/>
        </w:rPr>
        <w:t xml:space="preserve">Clarke, Roger --- "Profiling: A Hidden Challenge to the Regulation of Data Surveillance" [1993] </w:t>
      </w:r>
      <w:proofErr w:type="spellStart"/>
      <w:r>
        <w:rPr>
          <w:i/>
          <w:sz w:val="20"/>
          <w:szCs w:val="20"/>
          <w:highlight w:val="white"/>
        </w:rPr>
        <w:t>JlLawInfoSci</w:t>
      </w:r>
      <w:proofErr w:type="spellEnd"/>
      <w:r>
        <w:rPr>
          <w:i/>
          <w:sz w:val="20"/>
          <w:szCs w:val="20"/>
          <w:highlight w:val="white"/>
        </w:rPr>
        <w:t xml:space="preserve"> 26; (1993) 4(2) Journal of Law, Information and Science 403</w:t>
      </w:r>
      <w:r>
        <w:rPr>
          <w:sz w:val="20"/>
          <w:szCs w:val="20"/>
          <w:highlight w:val="white"/>
        </w:rPr>
        <w:t>. [online] Classic.austlii.edu.au. Available at: http://classic.austlii.edu.au/au/journals/JlLawInfoSci/1993/26.html [Accessed 14 Oct. 2018].</w:t>
      </w:r>
    </w:p>
    <w:p w14:paraId="7C933966" w14:textId="5F271148" w:rsidR="00FD3DC4" w:rsidRDefault="001A4EC0" w:rsidP="0070304B">
      <w:pPr>
        <w:spacing w:after="100" w:afterAutospacing="1"/>
        <w:ind w:left="720" w:hanging="720"/>
        <w:contextualSpacing w:val="0"/>
        <w:rPr>
          <w:sz w:val="20"/>
          <w:szCs w:val="20"/>
          <w:highlight w:val="white"/>
        </w:rPr>
      </w:pPr>
      <w:r>
        <w:rPr>
          <w:sz w:val="20"/>
          <w:szCs w:val="20"/>
          <w:highlight w:val="white"/>
        </w:rPr>
        <w:t xml:space="preserve">Clarke, R. and Greenleaf, G. (2018). </w:t>
      </w:r>
      <w:r>
        <w:rPr>
          <w:i/>
          <w:sz w:val="20"/>
          <w:szCs w:val="20"/>
          <w:highlight w:val="white"/>
        </w:rPr>
        <w:t>Dataveillance Regulation: A Research Framework</w:t>
      </w:r>
      <w:r>
        <w:rPr>
          <w:sz w:val="20"/>
          <w:szCs w:val="20"/>
          <w:highlight w:val="white"/>
        </w:rPr>
        <w:t>. [online] SSRN. Available at: http://dx.doi.org/10.2139/ssrn.3073492 [Accessed 13 Oct. 2018].</w:t>
      </w:r>
    </w:p>
    <w:p w14:paraId="2DAC697D" w14:textId="334B4041" w:rsidR="00FD3DC4" w:rsidRDefault="001A4EC0" w:rsidP="0070304B">
      <w:pPr>
        <w:spacing w:after="100" w:afterAutospacing="1"/>
        <w:ind w:left="720" w:hanging="720"/>
        <w:contextualSpacing w:val="0"/>
        <w:rPr>
          <w:sz w:val="20"/>
          <w:szCs w:val="20"/>
          <w:highlight w:val="white"/>
        </w:rPr>
      </w:pPr>
      <w:proofErr w:type="spellStart"/>
      <w:r>
        <w:rPr>
          <w:sz w:val="20"/>
          <w:szCs w:val="20"/>
          <w:highlight w:val="white"/>
        </w:rPr>
        <w:t>Degli</w:t>
      </w:r>
      <w:proofErr w:type="spellEnd"/>
      <w:r>
        <w:rPr>
          <w:sz w:val="20"/>
          <w:szCs w:val="20"/>
          <w:highlight w:val="white"/>
        </w:rPr>
        <w:t xml:space="preserve"> </w:t>
      </w:r>
      <w:proofErr w:type="spellStart"/>
      <w:r>
        <w:rPr>
          <w:sz w:val="20"/>
          <w:szCs w:val="20"/>
          <w:highlight w:val="white"/>
        </w:rPr>
        <w:t>Esposti</w:t>
      </w:r>
      <w:proofErr w:type="spellEnd"/>
      <w:r>
        <w:rPr>
          <w:sz w:val="20"/>
          <w:szCs w:val="20"/>
          <w:highlight w:val="white"/>
        </w:rPr>
        <w:t xml:space="preserve">, S. (2014). When big data meets dataveillance: the hidden side of analytics. </w:t>
      </w:r>
      <w:r>
        <w:rPr>
          <w:i/>
          <w:sz w:val="20"/>
          <w:szCs w:val="20"/>
        </w:rPr>
        <w:t>Surveillance &amp; Society</w:t>
      </w:r>
      <w:r>
        <w:rPr>
          <w:sz w:val="20"/>
          <w:szCs w:val="20"/>
          <w:highlight w:val="white"/>
        </w:rPr>
        <w:t>, 12(2), pp.209-225.</w:t>
      </w:r>
    </w:p>
    <w:p w14:paraId="1F973D32" w14:textId="611DCE4B" w:rsidR="00FD3DC4" w:rsidRDefault="001A4EC0" w:rsidP="0070304B">
      <w:pPr>
        <w:spacing w:after="100" w:afterAutospacing="1"/>
        <w:ind w:left="720" w:hanging="720"/>
        <w:contextualSpacing w:val="0"/>
        <w:rPr>
          <w:sz w:val="20"/>
          <w:szCs w:val="20"/>
          <w:highlight w:val="white"/>
        </w:rPr>
      </w:pPr>
      <w:proofErr w:type="spellStart"/>
      <w:r>
        <w:rPr>
          <w:sz w:val="20"/>
          <w:szCs w:val="20"/>
          <w:highlight w:val="white"/>
        </w:rPr>
        <w:t>UKEssays</w:t>
      </w:r>
      <w:proofErr w:type="spellEnd"/>
      <w:r>
        <w:rPr>
          <w:sz w:val="20"/>
          <w:szCs w:val="20"/>
          <w:highlight w:val="white"/>
        </w:rPr>
        <w:t xml:space="preserve">. November 2013. Surveillance </w:t>
      </w:r>
      <w:proofErr w:type="gramStart"/>
      <w:r>
        <w:rPr>
          <w:sz w:val="20"/>
          <w:szCs w:val="20"/>
          <w:highlight w:val="white"/>
        </w:rPr>
        <w:t>And</w:t>
      </w:r>
      <w:proofErr w:type="gramEnd"/>
      <w:r>
        <w:rPr>
          <w:sz w:val="20"/>
          <w:szCs w:val="20"/>
          <w:highlight w:val="white"/>
        </w:rPr>
        <w:t xml:space="preserve"> Dataveillance in governments. [online]. Available from: https://www.ukessays.com/essays/information-systems/surveillance-and-dataveillance-in-governments-information-systems-essay.php?vref=1 [Accessed 13 October 2018].</w:t>
      </w:r>
    </w:p>
    <w:p w14:paraId="08136C1A" w14:textId="3EA0EA38" w:rsidR="00D44E8C" w:rsidRDefault="001A4EC0" w:rsidP="0070304B">
      <w:pPr>
        <w:spacing w:after="100" w:afterAutospacing="1"/>
        <w:ind w:left="720" w:hanging="720"/>
        <w:contextualSpacing w:val="0"/>
        <w:rPr>
          <w:sz w:val="20"/>
          <w:szCs w:val="20"/>
          <w:highlight w:val="white"/>
        </w:rPr>
      </w:pPr>
      <w:r>
        <w:rPr>
          <w:sz w:val="20"/>
          <w:szCs w:val="20"/>
          <w:highlight w:val="white"/>
        </w:rPr>
        <w:t xml:space="preserve">Van </w:t>
      </w:r>
      <w:proofErr w:type="spellStart"/>
      <w:r>
        <w:rPr>
          <w:sz w:val="20"/>
          <w:szCs w:val="20"/>
          <w:highlight w:val="white"/>
        </w:rPr>
        <w:t>Dijck</w:t>
      </w:r>
      <w:proofErr w:type="spellEnd"/>
      <w:r>
        <w:rPr>
          <w:sz w:val="20"/>
          <w:szCs w:val="20"/>
          <w:highlight w:val="white"/>
        </w:rPr>
        <w:t xml:space="preserve">, J. (2014). Datafication, </w:t>
      </w:r>
      <w:proofErr w:type="spellStart"/>
      <w:r>
        <w:rPr>
          <w:sz w:val="20"/>
          <w:szCs w:val="20"/>
          <w:highlight w:val="white"/>
        </w:rPr>
        <w:t>dataism</w:t>
      </w:r>
      <w:proofErr w:type="spellEnd"/>
      <w:r>
        <w:rPr>
          <w:sz w:val="20"/>
          <w:szCs w:val="20"/>
          <w:highlight w:val="white"/>
        </w:rPr>
        <w:t xml:space="preserve"> and dataveillance: Big Data between scientific paradigm and ideology. </w:t>
      </w:r>
      <w:r>
        <w:rPr>
          <w:i/>
          <w:sz w:val="20"/>
          <w:szCs w:val="20"/>
          <w:highlight w:val="white"/>
        </w:rPr>
        <w:t>Surveillance &amp; Society</w:t>
      </w:r>
      <w:r>
        <w:rPr>
          <w:sz w:val="20"/>
          <w:szCs w:val="20"/>
          <w:highlight w:val="white"/>
        </w:rPr>
        <w:t>, 12(2), pp.197-208.</w:t>
      </w:r>
    </w:p>
    <w:p w14:paraId="3E46425B" w14:textId="77777777" w:rsidR="00D44E8C" w:rsidRDefault="00D44E8C">
      <w:pPr>
        <w:rPr>
          <w:sz w:val="20"/>
          <w:szCs w:val="20"/>
          <w:highlight w:val="white"/>
        </w:rPr>
      </w:pPr>
      <w:r>
        <w:rPr>
          <w:sz w:val="20"/>
          <w:szCs w:val="20"/>
          <w:highlight w:val="white"/>
        </w:rPr>
        <w:br w:type="page"/>
      </w:r>
    </w:p>
    <w:p w14:paraId="7ED78CFD" w14:textId="6D5DDB67" w:rsidR="00D44E8C" w:rsidRDefault="00D44E8C" w:rsidP="000A2327">
      <w:pPr>
        <w:tabs>
          <w:tab w:val="center" w:pos="4513"/>
        </w:tabs>
        <w:spacing w:before="100" w:beforeAutospacing="1" w:after="100" w:afterAutospacing="1"/>
        <w:rPr>
          <w:b/>
          <w:color w:val="365F91" w:themeColor="accent1" w:themeShade="BF"/>
          <w:sz w:val="24"/>
          <w:szCs w:val="24"/>
          <w:lang w:val="en-AU"/>
        </w:rPr>
      </w:pPr>
      <w:r>
        <w:rPr>
          <w:b/>
          <w:color w:val="365F91" w:themeColor="accent1" w:themeShade="BF"/>
          <w:sz w:val="24"/>
          <w:szCs w:val="24"/>
          <w:lang w:val="en-AU"/>
        </w:rPr>
        <w:lastRenderedPageBreak/>
        <w:t>Reflective Diary</w:t>
      </w:r>
    </w:p>
    <w:p w14:paraId="32B658DD" w14:textId="77777777" w:rsidR="000A2327" w:rsidRPr="00D44E8C" w:rsidRDefault="000A2327" w:rsidP="000A2327">
      <w:pPr>
        <w:spacing w:before="100" w:beforeAutospacing="1" w:after="100" w:afterAutospacing="1"/>
        <w:rPr>
          <w:rFonts w:hint="eastAsia"/>
          <w:b/>
          <w:color w:val="365F91" w:themeColor="accent1" w:themeShade="BF"/>
          <w:sz w:val="24"/>
          <w:szCs w:val="24"/>
          <w:lang w:val="en-AU"/>
        </w:rPr>
      </w:pPr>
    </w:p>
    <w:p w14:paraId="286C78FF" w14:textId="59D29629" w:rsidR="00D44E8C" w:rsidRPr="000A2327" w:rsidRDefault="00D44E8C" w:rsidP="000A2327">
      <w:pPr>
        <w:spacing w:before="100" w:beforeAutospacing="1" w:after="100" w:afterAutospacing="1" w:line="360" w:lineRule="auto"/>
        <w:rPr>
          <w:rFonts w:ascii="Songti TC" w:eastAsia="Songti TC" w:hAnsi="Songti TC" w:cstheme="minorHAnsi"/>
          <w:b/>
          <w:color w:val="365F91" w:themeColor="accent1" w:themeShade="BF"/>
          <w:szCs w:val="21"/>
        </w:rPr>
      </w:pPr>
      <w:r w:rsidRPr="000A2327">
        <w:rPr>
          <w:rFonts w:ascii="Songti TC" w:eastAsia="Songti TC" w:hAnsi="Songti TC" w:cstheme="minorHAnsi"/>
          <w:b/>
          <w:color w:val="365F91" w:themeColor="accent1" w:themeShade="BF"/>
          <w:szCs w:val="21"/>
        </w:rPr>
        <w:t>口译经历</w:t>
      </w:r>
    </w:p>
    <w:p w14:paraId="646AA39A" w14:textId="77777777" w:rsidR="00D44E8C" w:rsidRPr="00063653" w:rsidRDefault="00D44E8C" w:rsidP="000A2327">
      <w:pPr>
        <w:spacing w:before="100" w:beforeAutospacing="1" w:after="100" w:afterAutospacing="1" w:line="360" w:lineRule="auto"/>
        <w:rPr>
          <w:rFonts w:ascii="Songti TC" w:eastAsia="Songti TC" w:hAnsi="Songti TC" w:cstheme="minorHAnsi"/>
          <w:color w:val="000000"/>
          <w:szCs w:val="21"/>
        </w:rPr>
      </w:pPr>
      <w:r w:rsidRPr="002501F3">
        <w:rPr>
          <w:rFonts w:ascii="Songti TC" w:eastAsia="Songti TC" w:hAnsi="Songti TC" w:cstheme="minorHAnsi"/>
          <w:color w:val="000000"/>
          <w:szCs w:val="21"/>
        </w:rPr>
        <w:t>作为母语为中文的澳大利亚留学生，难免会有接触到口译的时候。我的几次口译经历都是在日常生活中发生的。比如有一次参加日本电影节的志愿活动时，一个中国的游客向我问路，后来我的搭档问我刚才发生了什么，我又用英文向我的搭档解释，这个过程就涉及到了口译。还有一次是在实习时，因为公司有中国背景和澳洲背景的员工，有时在聊天的时候会讲到中国的典故和谚语，这时就要翻译给没有中文背景的同事，当时我用的方法就是把典故背后的含义直接用英文表达出来，省略故事本身。当然不是每一次口译都能化险为夷，有一次假期回国和朋友去看《东方快车谋杀案》，当时有一段字幕缺失，我的朋友让我给他翻译，但是由于我只抓住了几个关键词，电影又在持续放映，很快我就忘记了那段的意思了，最后也是没能成功翻译出来。这几次经历给我的感觉是口译并不难，只要熟练掌握原语和目的语，就能做口译员。但这学期上了中英口译课之后才知道仅仅熟悉两种语言还不能做一名合格的口译员。</w:t>
      </w:r>
    </w:p>
    <w:p w14:paraId="0684305F" w14:textId="77777777" w:rsidR="000A2327" w:rsidRDefault="000A2327" w:rsidP="000A2327">
      <w:pPr>
        <w:spacing w:before="100" w:beforeAutospacing="1" w:after="100" w:afterAutospacing="1" w:line="360" w:lineRule="auto"/>
        <w:rPr>
          <w:rFonts w:ascii="Songti TC" w:eastAsia="Songti TC" w:hAnsi="Songti TC" w:cstheme="minorHAnsi"/>
          <w:b/>
          <w:color w:val="365F91" w:themeColor="accent1" w:themeShade="BF"/>
          <w:szCs w:val="21"/>
        </w:rPr>
      </w:pPr>
    </w:p>
    <w:p w14:paraId="6A134A65" w14:textId="645AB2A4" w:rsidR="00D44E8C" w:rsidRPr="000A2327" w:rsidRDefault="00D44E8C" w:rsidP="000A2327">
      <w:pPr>
        <w:spacing w:before="100" w:beforeAutospacing="1" w:after="100" w:afterAutospacing="1" w:line="360" w:lineRule="auto"/>
        <w:rPr>
          <w:rFonts w:ascii="Songti TC" w:eastAsia="Songti TC" w:hAnsi="Songti TC" w:cstheme="minorHAnsi"/>
          <w:b/>
          <w:color w:val="365F91" w:themeColor="accent1" w:themeShade="BF"/>
          <w:szCs w:val="21"/>
        </w:rPr>
      </w:pPr>
      <w:r w:rsidRPr="000A2327">
        <w:rPr>
          <w:rFonts w:ascii="Songti TC" w:eastAsia="Songti TC" w:hAnsi="Songti TC" w:cstheme="minorHAnsi"/>
          <w:b/>
          <w:color w:val="365F91" w:themeColor="accent1" w:themeShade="BF"/>
          <w:szCs w:val="21"/>
        </w:rPr>
        <w:t>学习感悟</w:t>
      </w:r>
    </w:p>
    <w:p w14:paraId="011A03C6" w14:textId="77777777" w:rsidR="00D44E8C" w:rsidRDefault="00D44E8C" w:rsidP="000A2327">
      <w:pPr>
        <w:spacing w:before="100" w:beforeAutospacing="1" w:after="100" w:afterAutospacing="1" w:line="360" w:lineRule="auto"/>
        <w:rPr>
          <w:rFonts w:ascii="Songti TC" w:eastAsia="Songti TC" w:hAnsi="Songti TC" w:cstheme="minorHAnsi"/>
          <w:color w:val="000000"/>
          <w:szCs w:val="21"/>
        </w:rPr>
      </w:pPr>
      <w:r w:rsidRPr="002501F3">
        <w:rPr>
          <w:rFonts w:ascii="Songti TC" w:eastAsia="Songti TC" w:hAnsi="Songti TC" w:cstheme="minorHAnsi"/>
          <w:color w:val="000000"/>
          <w:szCs w:val="21"/>
        </w:rPr>
        <w:t>选这门课的时候觉得既然中文是母语英文也不错应该很容易。Lecture上给我的感觉是理论知识并不难，重点是如何有效运用。真正体会到口译的难度是在tutorial上。当时的视译练习虽然所有的单词我都知道是什么意思了，但是在试图翻译的时候总是表达的不通顺，外加心里紧张，更磕磕绊绊了。虽然没了生词，但两种语言句型结构不一样，每个单词意思又有很多，短时间内既要调整句型结构又要从头脑中搜索出合适的意思，还要心态好，不能慌。如果句子中夹杂着俗语典故等更是难上加难。视译是口译中最简单的类别了，可依然需要技巧和大量练习，让我感觉到了口译的难度。后来接触了交替传译，才知道其实我在工作中给同事翻译的不能算作严格的口译，更像是英文的总结。交替传译练习中，我忽视了很多应该翻译出来的点，比如一些频率表达词，更严重的是错过一些关键信息。这让我意识到，日常对话的翻译有一些缺失</w:t>
      </w:r>
      <w:r w:rsidRPr="002501F3">
        <w:rPr>
          <w:rFonts w:ascii="Songti TC" w:eastAsia="Songti TC" w:hAnsi="Songti TC" w:cstheme="minorHAnsi"/>
          <w:color w:val="000000"/>
          <w:szCs w:val="21"/>
        </w:rPr>
        <w:lastRenderedPageBreak/>
        <w:t>项，虽然不影响理解，但并不严谨，和实际意义有一定的出入，这在专业的口译中是不允许的。而且比如翻译典故的时候，虽然讲隐含的意思用英文表达出来也没有错，但却是口译中的下策。真的是“台上十分钟，台下十年功”，这也合理的解释了为什么口译员的薪水都比较高。</w:t>
      </w:r>
    </w:p>
    <w:p w14:paraId="7A41AC79" w14:textId="77777777" w:rsidR="000A2327" w:rsidRDefault="000A2327" w:rsidP="000A2327">
      <w:pPr>
        <w:spacing w:before="100" w:beforeAutospacing="1" w:after="100" w:afterAutospacing="1" w:line="360" w:lineRule="auto"/>
        <w:rPr>
          <w:rFonts w:ascii="Songti TC" w:eastAsia="Songti TC" w:hAnsi="Songti TC" w:cstheme="minorHAnsi"/>
          <w:b/>
          <w:color w:val="365F91" w:themeColor="accent1" w:themeShade="BF"/>
          <w:szCs w:val="21"/>
        </w:rPr>
      </w:pPr>
    </w:p>
    <w:p w14:paraId="5E0F78CD" w14:textId="18406A7B" w:rsidR="00D44E8C" w:rsidRPr="000A2327" w:rsidRDefault="00D44E8C" w:rsidP="000A2327">
      <w:pPr>
        <w:spacing w:before="100" w:beforeAutospacing="1" w:after="100" w:afterAutospacing="1" w:line="360" w:lineRule="auto"/>
        <w:rPr>
          <w:rFonts w:ascii="Songti TC" w:eastAsia="Songti TC" w:hAnsi="Songti TC" w:cstheme="minorHAnsi"/>
          <w:b/>
          <w:color w:val="365F91" w:themeColor="accent1" w:themeShade="BF"/>
          <w:szCs w:val="21"/>
        </w:rPr>
      </w:pPr>
      <w:r w:rsidRPr="000A2327">
        <w:rPr>
          <w:rFonts w:ascii="Songti TC" w:eastAsia="Songti TC" w:hAnsi="Songti TC" w:cstheme="minorHAnsi" w:hint="eastAsia"/>
          <w:b/>
          <w:color w:val="365F91" w:themeColor="accent1" w:themeShade="BF"/>
          <w:szCs w:val="21"/>
        </w:rPr>
        <w:t>自我评价</w:t>
      </w:r>
    </w:p>
    <w:p w14:paraId="129A4152" w14:textId="77777777" w:rsidR="00D44E8C" w:rsidRDefault="00D44E8C" w:rsidP="000A2327">
      <w:pPr>
        <w:spacing w:before="100" w:beforeAutospacing="1" w:after="100" w:afterAutospacing="1" w:line="360" w:lineRule="auto"/>
        <w:rPr>
          <w:rFonts w:ascii="Songti TC" w:eastAsia="Songti TC" w:hAnsi="Songti TC" w:cstheme="minorHAnsi"/>
          <w:color w:val="000000"/>
          <w:szCs w:val="21"/>
        </w:rPr>
      </w:pPr>
      <w:r w:rsidRPr="002501F3">
        <w:rPr>
          <w:rFonts w:ascii="Songti TC" w:eastAsia="Songti TC" w:hAnsi="Songti TC" w:cstheme="minorHAnsi"/>
          <w:color w:val="000000"/>
          <w:szCs w:val="21"/>
        </w:rPr>
        <w:t>经过一学期的学习，我觉得我在口译上做的比较好的是视译部分，而且我觉得视译本身就是口译最简单的一种，不像交替传译需要强大的知识储备，更不像同声传译还需要有很好的短期记忆能力。而且在翻译过每一篇tutorial的文章之后，虽然流利度还有待提高，但对翻译的通顺度及准确度的把握都有了很大的提升。自己比较薄弱的方面是交替传译，主要问题是信息记不全，其中一个原因是自己的笔记做的不熟练，其次是没有很好的利用短期记忆。对于笔记，自己应该至少有一套属于自己的笔记符号体系，包括一些常用的数词、名词、代词，以及某一领域的专业词汇的笔记符号。短期记忆是需要通过练习加强的，快速的将一句话在脑海中图像化。比如听一段话，然后立刻复述出来。通过增加段落的长度锻炼短期记忆。</w:t>
      </w:r>
    </w:p>
    <w:p w14:paraId="61AFA001" w14:textId="77777777" w:rsidR="000A2327" w:rsidRDefault="000A2327" w:rsidP="000A2327">
      <w:pPr>
        <w:spacing w:before="100" w:beforeAutospacing="1" w:after="100" w:afterAutospacing="1" w:line="360" w:lineRule="auto"/>
        <w:rPr>
          <w:rFonts w:ascii="Songti TC" w:eastAsia="Songti TC" w:hAnsi="Songti TC" w:cstheme="minorHAnsi"/>
          <w:b/>
          <w:color w:val="365F91" w:themeColor="accent1" w:themeShade="BF"/>
          <w:szCs w:val="21"/>
        </w:rPr>
      </w:pPr>
    </w:p>
    <w:p w14:paraId="42C8947F" w14:textId="44829C36" w:rsidR="00D44E8C" w:rsidRPr="000A2327" w:rsidRDefault="00D44E8C" w:rsidP="000A2327">
      <w:pPr>
        <w:spacing w:before="100" w:beforeAutospacing="1" w:after="100" w:afterAutospacing="1" w:line="360" w:lineRule="auto"/>
        <w:rPr>
          <w:rFonts w:ascii="Songti TC" w:eastAsia="Songti TC" w:hAnsi="Songti TC" w:cstheme="minorHAnsi"/>
          <w:b/>
          <w:color w:val="365F91" w:themeColor="accent1" w:themeShade="BF"/>
          <w:szCs w:val="21"/>
        </w:rPr>
      </w:pPr>
      <w:r w:rsidRPr="000A2327">
        <w:rPr>
          <w:rFonts w:ascii="Songti TC" w:eastAsia="Songti TC" w:hAnsi="Songti TC" w:cstheme="minorHAnsi" w:hint="eastAsia"/>
          <w:b/>
          <w:color w:val="365F91" w:themeColor="accent1" w:themeShade="BF"/>
          <w:szCs w:val="21"/>
        </w:rPr>
        <w:t>对于口译的理解</w:t>
      </w:r>
    </w:p>
    <w:p w14:paraId="23F59E56" w14:textId="77777777" w:rsidR="00D44E8C" w:rsidRPr="00063653" w:rsidRDefault="00D44E8C" w:rsidP="000A2327">
      <w:pPr>
        <w:spacing w:before="100" w:beforeAutospacing="1" w:after="100" w:afterAutospacing="1" w:line="360" w:lineRule="auto"/>
        <w:rPr>
          <w:rFonts w:ascii="Songti TC" w:eastAsia="Songti TC" w:hAnsi="Songti TC" w:cstheme="minorHAnsi"/>
          <w:szCs w:val="21"/>
        </w:rPr>
      </w:pPr>
      <w:r w:rsidRPr="006B22A3">
        <w:rPr>
          <w:rFonts w:ascii="Songti TC" w:eastAsia="Songti TC" w:hAnsi="Songti TC" w:cstheme="minorHAnsi"/>
          <w:color w:val="000000"/>
          <w:szCs w:val="21"/>
        </w:rPr>
        <w:t>我觉得口译需要有良好的心理素质以及学无止境的态度，永远不能保证在每一次口译中都不碰到难翻译的生词及典故，更不能保证每一次口译都能翻译的准确无误。长远来看，要不断提高自己的知识储备，厚积薄发；短期内则要战略性准备口译任务，做到有备无患。无论是在课上还是一些关于口译的文章中，都提及了这一点。所以遇到再难得任务只要做了该做的准备，调整好心态，就足够了，一个口译员的水平不会因为短时间的准备就有太大的提升。口译所需要用到的技巧有很多，但无一不需要大量的练习，熟能生巧。</w:t>
      </w:r>
    </w:p>
    <w:p w14:paraId="2BB44AA8" w14:textId="77777777" w:rsidR="00FD3DC4" w:rsidRDefault="00FD3DC4" w:rsidP="00A64F7A">
      <w:pPr>
        <w:spacing w:before="100" w:beforeAutospacing="1" w:after="100" w:afterAutospacing="1" w:line="360" w:lineRule="auto"/>
        <w:contextualSpacing w:val="0"/>
        <w:rPr>
          <w:sz w:val="20"/>
          <w:szCs w:val="20"/>
          <w:highlight w:val="white"/>
        </w:rPr>
      </w:pPr>
    </w:p>
    <w:sectPr w:rsidR="00FD3DC4" w:rsidSect="0070304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E1C5" w14:textId="77777777" w:rsidR="00B8545A" w:rsidRDefault="00B8545A" w:rsidP="0070304B">
      <w:pPr>
        <w:spacing w:line="240" w:lineRule="auto"/>
      </w:pPr>
      <w:r>
        <w:separator/>
      </w:r>
    </w:p>
  </w:endnote>
  <w:endnote w:type="continuationSeparator" w:id="0">
    <w:p w14:paraId="5F3548D9" w14:textId="77777777" w:rsidR="00B8545A" w:rsidRDefault="00B8545A" w:rsidP="00703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ngti TC">
    <w:panose1 w:val="02010600040101010101"/>
    <w:charset w:val="88"/>
    <w:family w:val="auto"/>
    <w:pitch w:val="variable"/>
    <w:sig w:usb0="00000287" w:usb1="080F0000" w:usb2="00000010" w:usb3="00000000" w:csb0="0014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112B0" w14:textId="77777777" w:rsidR="0070304B" w:rsidRDefault="00703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DD89" w14:textId="77777777" w:rsidR="0070304B" w:rsidRDefault="00703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5CA9" w14:textId="77777777" w:rsidR="0070304B" w:rsidRDefault="00703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4E348" w14:textId="77777777" w:rsidR="00B8545A" w:rsidRDefault="00B8545A" w:rsidP="0070304B">
      <w:pPr>
        <w:spacing w:line="240" w:lineRule="auto"/>
      </w:pPr>
      <w:r>
        <w:separator/>
      </w:r>
    </w:p>
  </w:footnote>
  <w:footnote w:type="continuationSeparator" w:id="0">
    <w:p w14:paraId="7826B44D" w14:textId="77777777" w:rsidR="00B8545A" w:rsidRDefault="00B8545A" w:rsidP="00703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9D717" w14:textId="77777777" w:rsidR="0070304B" w:rsidRDefault="00703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5204A" w14:textId="77777777" w:rsidR="0070304B" w:rsidRDefault="00703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56CD" w14:textId="77777777" w:rsidR="0070304B" w:rsidRDefault="00703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D3DC4"/>
    <w:rsid w:val="000852D0"/>
    <w:rsid w:val="000A2327"/>
    <w:rsid w:val="001A4EC0"/>
    <w:rsid w:val="00365391"/>
    <w:rsid w:val="003C332E"/>
    <w:rsid w:val="00434901"/>
    <w:rsid w:val="0070304B"/>
    <w:rsid w:val="00747395"/>
    <w:rsid w:val="007A26FD"/>
    <w:rsid w:val="00925EE3"/>
    <w:rsid w:val="009F228D"/>
    <w:rsid w:val="00A31E17"/>
    <w:rsid w:val="00A64F7A"/>
    <w:rsid w:val="00B8545A"/>
    <w:rsid w:val="00CC4846"/>
    <w:rsid w:val="00D44E8C"/>
    <w:rsid w:val="00F13963"/>
    <w:rsid w:val="00FD3D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5D9CA"/>
  <w15:docId w15:val="{566BAC70-681F-9E41-A35D-EA721921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70304B"/>
    <w:pPr>
      <w:tabs>
        <w:tab w:val="center" w:pos="4513"/>
        <w:tab w:val="right" w:pos="9026"/>
      </w:tabs>
      <w:spacing w:line="240" w:lineRule="auto"/>
    </w:pPr>
  </w:style>
  <w:style w:type="character" w:customStyle="1" w:styleId="HeaderChar">
    <w:name w:val="Header Char"/>
    <w:basedOn w:val="DefaultParagraphFont"/>
    <w:link w:val="Header"/>
    <w:uiPriority w:val="99"/>
    <w:rsid w:val="0070304B"/>
  </w:style>
  <w:style w:type="paragraph" w:styleId="Footer">
    <w:name w:val="footer"/>
    <w:basedOn w:val="Normal"/>
    <w:link w:val="FooterChar"/>
    <w:uiPriority w:val="99"/>
    <w:unhideWhenUsed/>
    <w:rsid w:val="0070304B"/>
    <w:pPr>
      <w:tabs>
        <w:tab w:val="center" w:pos="4513"/>
        <w:tab w:val="right" w:pos="9026"/>
      </w:tabs>
      <w:spacing w:line="240" w:lineRule="auto"/>
    </w:pPr>
  </w:style>
  <w:style w:type="character" w:customStyle="1" w:styleId="FooterChar">
    <w:name w:val="Footer Char"/>
    <w:basedOn w:val="DefaultParagraphFont"/>
    <w:link w:val="Footer"/>
    <w:uiPriority w:val="99"/>
    <w:rsid w:val="0070304B"/>
  </w:style>
  <w:style w:type="table" w:styleId="TableGrid">
    <w:name w:val="Table Grid"/>
    <w:basedOn w:val="TableNormal"/>
    <w:uiPriority w:val="39"/>
    <w:rsid w:val="007030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7AEC-FC40-8842-859D-AE823E67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Wang</cp:lastModifiedBy>
  <cp:revision>11</cp:revision>
  <dcterms:created xsi:type="dcterms:W3CDTF">2018-10-14T13:21:00Z</dcterms:created>
  <dcterms:modified xsi:type="dcterms:W3CDTF">2018-10-26T05:26:00Z</dcterms:modified>
</cp:coreProperties>
</file>