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 w:line="360" w:lineRule="auto"/>
        <w:jc w:val="center"/>
      </w:pPr>
      <w:r>
        <w:rPr>
          <w:rFonts w:ascii="Calibri" w:cs="Calibri" w:eastAsia="Calibri" w:hAnsi="Calibri"/>
          <w:b/>
          <w:bCs/>
          <w:i w:val="false"/>
          <w:iCs w:val="false"/>
          <w:strike w:val="false"/>
          <w:color w:val="FFFFFF"/>
          <w:sz w:val="22"/>
          <w:szCs w:val="22"/>
          <w:shd w:fill="1F4E79" w:color="auto" w:val="clear"/>
        </w:rPr>
        <w:t xml:space="preserve">FOR INTERNAL USE ONLY</w:t>
      </w:r>
    </w:p>
    <w:p>
      <w:pPr>
        <w:pStyle w:val="Heading1"/>
        <w:spacing w:after="80" w:before="480" w:line="312" w:lineRule="auto"/>
        <w:jc w:val="center"/>
      </w:pPr>
      <w:r>
        <w:rPr>
          <w:rFonts w:ascii="Calibri" w:cs="Calibri" w:eastAsia="Calibri" w:hAnsi="Calibri"/>
          <w:color w:val="1F4E79"/>
          <w:sz w:val="48"/>
          <w:szCs w:val="48"/>
        </w:rPr>
        <w:t xml:space="preserve">DECISION BRIEF: Surge Hiring Toolkit Consolidation</w:t>
      </w:r>
    </w:p>
    <w:p>
      <w:pPr>
        <w:spacing w:after="120" w:before="60" w:line="360" w:lineRule="auto"/>
        <w:jc w:val="center"/>
      </w:pPr>
      <w:r>
        <w:rPr>
          <w:rFonts w:ascii="Calibri" w:cs="Calibri" w:eastAsia="Calibri" w:hAnsi="Calibri"/>
          <w:b w:val="false"/>
          <w:bCs w:val="false"/>
          <w:i w:val="false"/>
          <w:iCs w:val="false"/>
          <w:strike w:val="false"/>
          <w:color w:val="555555"/>
          <w:sz w:val="22"/>
          <w:szCs w:val="22"/>
        </w:rPr>
        <w:t xml:space="preserve">Recommended Configuration for Team Review</w:t>
      </w:r>
    </w:p>
    <w:p>
      <w:pPr>
        <w:spacing w:after="60" w:before="60" w:line="360" w:lineRule="auto"/>
        <w:jc w:val="center"/>
      </w:pPr>
      <w:r>
        <w:rPr>
          <w:rFonts w:ascii="Calibri" w:cs="Calibri" w:eastAsia="Calibri" w:hAnsi="Calibri"/>
          <w:b w:val="false"/>
          <w:bCs w:val="false"/>
          <w:i w:val="false"/>
          <w:iCs w:val="false"/>
          <w:strike w:val="false"/>
          <w:color w:val="666666"/>
          <w:sz w:val="22"/>
          <w:szCs w:val="22"/>
        </w:rPr>
        <w:t xml:space="preserve">April 20, 2026  |  Prepared by: Program Management Office</w:t>
      </w:r>
    </w:p>
    <w:p>
      <w:pPr>
        <w:pBdr>
          <w:bottom w:val="single" w:color="1F4E79" w:sz="6"/>
        </w:pBdr>
        <w:spacing w:after="240" w:before="240"/>
      </w:pPr>
    </w:p>
    <w:p>
      <w:pPr>
        <w:pStyle w:val="Heading2"/>
        <w:spacing w:after="120" w:before="360" w:line="312" w:lineRule="auto"/>
      </w:pPr>
      <w:r>
        <w:rPr>
          <w:rFonts w:ascii="Calibri" w:cs="Calibri" w:eastAsia="Calibri" w:hAnsi="Calibri"/>
          <w:color w:val="1F4E79"/>
          <w:sz w:val="32"/>
          <w:szCs w:val="32"/>
        </w:rPr>
        <w:t xml:space="preserve">Purpose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Over the course of the surge hiring operation, the team developed 18 individual toolkit deliverables spanning recruiting, onboarding, security processing, and quality assurance. While each deliverable served its purpose during rapid build-out, maintaining 18 separate files is no longer sustainable for day-to-day operations. This brief presents three fully built consolidation options for team evaluation and vote, so we can move forward with a single, unified toolkit structure.</w:t>
      </w:r>
    </w:p>
    <w:p>
      <w:pPr>
        <w:pStyle w:val="Heading2"/>
        <w:spacing w:after="120" w:before="360" w:line="312" w:lineRule="auto"/>
      </w:pPr>
      <w:r>
        <w:rPr>
          <w:rFonts w:ascii="Calibri" w:cs="Calibri" w:eastAsia="Calibri" w:hAnsi="Calibri"/>
          <w:color w:val="1F4E79"/>
          <w:sz w:val="32"/>
          <w:szCs w:val="32"/>
        </w:rPr>
        <w:t xml:space="preserve">The Problem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current 18-file toolkit creates significant operational friction: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Version control challenges</w:t>
      </w:r>
      <w:r>
        <w:rPr>
          <w:rFonts w:ascii="Calibri" w:cs="Calibri" w:eastAsia="Calibri" w:hAnsi="Calibri"/>
          <w:b w:val="false"/>
          <w:bCs w:val="false"/>
          <w:i w:val="false"/>
          <w:iCs w:val="false"/>
          <w:strike w:val="false"/>
          <w:color w:val="000000"/>
          <w:sz w:val="22"/>
          <w:szCs w:val="22"/>
        </w:rPr>
        <w:t xml:space="preserve"> across multiple documents — no single source of truth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Difficulty finding the right file quickly</w:t>
      </w:r>
      <w:r>
        <w:rPr>
          <w:rFonts w:ascii="Calibri" w:cs="Calibri" w:eastAsia="Calibri" w:hAnsi="Calibri"/>
          <w:b w:val="false"/>
          <w:bCs w:val="false"/>
          <w:i w:val="false"/>
          <w:iCs w:val="false"/>
          <w:strike w:val="false"/>
          <w:color w:val="000000"/>
          <w:sz w:val="22"/>
          <w:szCs w:val="22"/>
        </w:rPr>
        <w:t xml:space="preserve"> — team members waste time navigating a crowded folder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Redundant data entry</w:t>
      </w:r>
      <w:r>
        <w:rPr>
          <w:rFonts w:ascii="Calibri" w:cs="Calibri" w:eastAsia="Calibri" w:hAnsi="Calibri"/>
          <w:b w:val="false"/>
          <w:bCs w:val="false"/>
          <w:i w:val="false"/>
          <w:iCs w:val="false"/>
          <w:strike w:val="false"/>
          <w:color w:val="000000"/>
          <w:sz w:val="22"/>
          <w:szCs w:val="22"/>
        </w:rPr>
        <w:t xml:space="preserve"> across overlapping spreadsheets, increasing error risk</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No centralized dashboard view</w:t>
      </w:r>
      <w:r>
        <w:rPr>
          <w:rFonts w:ascii="Calibri" w:cs="Calibri" w:eastAsia="Calibri" w:hAnsi="Calibri"/>
          <w:b w:val="false"/>
          <w:bCs w:val="false"/>
          <w:i w:val="false"/>
          <w:iCs w:val="false"/>
          <w:strike w:val="false"/>
          <w:color w:val="000000"/>
          <w:sz w:val="22"/>
          <w:szCs w:val="22"/>
        </w:rPr>
        <w:t xml:space="preserve"> of operations — leadership visibility requires manual compilation</w:t>
      </w:r>
    </w:p>
    <w:p>
      <w:pPr>
        <w:pStyle w:val="Heading2"/>
        <w:spacing w:after="120" w:before="360" w:line="312" w:lineRule="auto"/>
      </w:pPr>
      <w:r>
        <w:rPr>
          <w:rFonts w:ascii="Calibri" w:cs="Calibri" w:eastAsia="Calibri" w:hAnsi="Calibri"/>
          <w:color w:val="1F4E79"/>
          <w:sz w:val="32"/>
          <w:szCs w:val="32"/>
        </w:rPr>
        <w:t xml:space="preserve">Quick Comparison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7%"/>
            <w:shd w:fill="1F4E79"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Criteria</w:t>
            </w:r>
          </w:p>
        </w:tc>
        <w:tc>
          <w:tcPr>
            <w:tcW w:type="pct" w:w="30%"/>
            <w:shd w:fill="1F4E79"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Option A: 4-Hub Model</w:t>
            </w:r>
          </w:p>
        </w:tc>
        <w:tc>
          <w:tcPr>
            <w:tcW w:type="pct" w:w="24%"/>
            <w:shd w:fill="1F4E79"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Option B: Single Command Center</w:t>
            </w:r>
          </w:p>
        </w:tc>
        <w:tc>
          <w:tcPr>
            <w:tcW w:type="pct" w:w="29%"/>
            <w:shd w:fill="1F4E79"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Option C: Hybrid Model</w:t>
            </w:r>
          </w:p>
        </w:tc>
      </w:tr>
      <w:tr>
        <w:trPr>
          <w:tblHeader w:val="false"/>
        </w:trPr>
        <w:tc>
          <w:tcPr>
            <w:tcW w:type="pct" w:w="17%"/>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Total Files</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8 (4 spreadsheets + 4 shared docs)</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5 (1 mega-workbook + 4 shared docs)</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6 (2 spreadsheets + 4 shared docs)</w:t>
            </w:r>
          </w:p>
        </w:tc>
      </w:tr>
      <w:tr>
        <w:trPr>
          <w:tblHeader w:val="false"/>
        </w:trPr>
        <w:tc>
          <w:tcPr>
            <w:tcW w:type="pct" w:w="17%"/>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Spreadsheet Tabs</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~25 across 4 hubs</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~15 in 1 workbook</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~20 across 2 hubs</w:t>
            </w:r>
          </w:p>
        </w:tc>
      </w:tr>
      <w:tr>
        <w:trPr>
          <w:tblHeader w:val="false"/>
        </w:trPr>
        <w:tc>
          <w:tcPr>
            <w:tcW w:type="pct" w:w="17%"/>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Functional Grouping</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Recruiting / HR / Security / Quality &amp; Training</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Everything in one place</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Recruiting &amp; Security / Operations &amp; Employee</w:t>
            </w:r>
          </w:p>
        </w:tc>
      </w:tr>
      <w:tr>
        <w:trPr>
          <w:tblHeader w:val="false"/>
        </w:trPr>
        <w:tc>
          <w:tcPr>
            <w:tcW w:type="pct" w:w="17%"/>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Ownership Model</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Clear — 1 lead per hub</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Single owner needed</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2 co-owners</w:t>
            </w:r>
          </w:p>
        </w:tc>
      </w:tr>
      <w:tr>
        <w:trPr>
          <w:tblHeader w:val="false"/>
        </w:trPr>
        <w:tc>
          <w:tcPr>
            <w:tcW w:type="pct" w:w="17%"/>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Ease of Adoption</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Moderate — team learns 4 hubs</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Easiest — one file to learn</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Good balance — 2 files</w:t>
            </w:r>
          </w:p>
        </w:tc>
      </w:tr>
      <w:tr>
        <w:trPr>
          <w:tblHeader w:val="false"/>
        </w:trPr>
        <w:tc>
          <w:tcPr>
            <w:tcW w:type="pct" w:w="17%"/>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Version Control Risk</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Moderate — 4 files to track</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Lowest — 1 master file</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Low — 2 files to track</w:t>
            </w:r>
          </w:p>
        </w:tc>
      </w:tr>
      <w:tr>
        <w:trPr>
          <w:tblHeader w:val="false"/>
        </w:trPr>
        <w:tc>
          <w:tcPr>
            <w:tcW w:type="pct" w:w="17%"/>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Performance Risk</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Low — smaller files</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Higher — large file may slow</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Low — balanced file sizes</w:t>
            </w:r>
          </w:p>
        </w:tc>
      </w:tr>
      <w:tr>
        <w:trPr>
          <w:tblHeader w:val="false"/>
        </w:trPr>
        <w:tc>
          <w:tcPr>
            <w:tcW w:type="pct" w:w="17%"/>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Best For</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Larger teams with dedicated roles</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Small teams wanting simplicity</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Mid-size teams wanting balance</w:t>
            </w:r>
          </w:p>
        </w:tc>
      </w:tr>
    </w:tbl>
    <w:p>
      <w:pPr>
        <w:spacing w:after="200" w:before="0"/>
      </w:pPr>
    </w:p>
    <w:p>
      <w:pPr>
        <w:pStyle w:val="Heading2"/>
        <w:spacing w:after="120" w:before="360" w:line="312" w:lineRule="auto"/>
      </w:pPr>
      <w:r>
        <w:rPr>
          <w:rFonts w:ascii="Calibri" w:cs="Calibri" w:eastAsia="Calibri" w:hAnsi="Calibri"/>
          <w:color w:val="1F4E79"/>
          <w:sz w:val="32"/>
          <w:szCs w:val="32"/>
        </w:rPr>
        <w:t xml:space="preserve">Option A — 4-Hub Model (8 files)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5%"/>
            <w:shd w:fill="2E75B6"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Pros</w:t>
            </w:r>
          </w:p>
        </w:tc>
        <w:tc>
          <w:tcPr>
            <w:tcW w:type="pct" w:w="45%"/>
            <w:shd w:fill="2E75B6"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Cons</w:t>
            </w:r>
          </w:p>
        </w:tc>
      </w:tr>
      <w:tr>
        <w:trPr>
          <w:tblHeader w:val="false"/>
        </w:trPr>
        <w:tc>
          <w:tcPr>
            <w:tcW w:type="pct" w:w="5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 Clear ownership boundaries — each functional area has a dedicated lead Smaller file sizes = faster loading and less risk of corruption Team members only need access to their relevant hub Easiest to add new tabs without impacting other areas </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 Most files to manage and track Cross-functional data requires switching between hubs Higher risk of version drift between hubs More complex onboarding — new team members learn 4 systems </w:t>
            </w:r>
          </w:p>
        </w:tc>
      </w:tr>
    </w:tbl>
    <w:p>
      <w:pPr>
        <w:spacing w:after="200" w:before="0"/>
      </w:pPr>
    </w:p>
    <w:p>
      <w:pPr>
        <w:pStyle w:val="Heading2"/>
        <w:spacing w:after="120" w:before="360" w:line="312" w:lineRule="auto"/>
      </w:pPr>
      <w:r>
        <w:rPr>
          <w:rFonts w:ascii="Calibri" w:cs="Calibri" w:eastAsia="Calibri" w:hAnsi="Calibri"/>
          <w:color w:val="1F4E79"/>
          <w:sz w:val="32"/>
          <w:szCs w:val="32"/>
        </w:rPr>
        <w:t xml:space="preserve">Option B — Single Command Center (5 files)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42%"/>
            <w:shd w:fill="2E75B6"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Pros</w:t>
            </w:r>
          </w:p>
        </w:tc>
        <w:tc>
          <w:tcPr>
            <w:tcW w:type="pct" w:w="58%"/>
            <w:shd w:fill="2E75B6"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Cons</w:t>
            </w:r>
          </w:p>
        </w:tc>
      </w:tr>
      <w:tr>
        <w:trPr>
          <w:tblHeader w:val="false"/>
        </w:trPr>
        <w:tc>
          <w:tcPr>
            <w:tcW w:type="pct" w:w="4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 True single source of truth — everything in one workbook Lowest version control risk Simplest to share and distribute Dashboard gives enterprise-wide visibility instantly </w:t>
            </w:r>
          </w:p>
        </w:tc>
        <w:tc>
          <w:tcPr>
            <w:tcW w:type="pct" w:w="5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 File size may cause performance issues as data grows Single point of failure — corruption affects everything Harder to restrict access by function One person's edits can accidentally affect another area Multiple simultaneous editors may cause conflicts </w:t>
            </w:r>
          </w:p>
        </w:tc>
      </w:tr>
    </w:tbl>
    <w:p>
      <w:pPr>
        <w:spacing w:after="200" w:before="0"/>
      </w:pPr>
    </w:p>
    <w:p>
      <w:pPr>
        <w:pStyle w:val="Heading2"/>
        <w:spacing w:after="120" w:before="360" w:line="312" w:lineRule="auto"/>
      </w:pPr>
      <w:r>
        <w:rPr>
          <w:rFonts w:ascii="Calibri" w:cs="Calibri" w:eastAsia="Calibri" w:hAnsi="Calibri"/>
          <w:color w:val="1F4E79"/>
          <w:sz w:val="32"/>
          <w:szCs w:val="32"/>
        </w:rPr>
        <w:t xml:space="preserve">Option C — Hybrid Model (6 files) ⭐ RECOMMENDED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65%"/>
            <w:shd w:fill="1F4E79"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Pros</w:t>
            </w:r>
          </w:p>
        </w:tc>
        <w:tc>
          <w:tcPr>
            <w:tcW w:type="pct" w:w="35%"/>
            <w:shd w:fill="1F4E79"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Cons</w:t>
            </w:r>
          </w:p>
        </w:tc>
      </w:tr>
      <w:tr>
        <w:trPr>
          <w:tblHeader w:val="false"/>
        </w:trPr>
        <w:tc>
          <w:tcPr>
            <w:tcW w:type="pct" w:w="6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 Logical grouping: recruiting flows into security clearance (Hub 1), operations flow into employee management (Hub 2) Manageable file sizes with room to grow Only 2 files to version control Natural ownership split — Recruiting Lead + Operations Lead Cross-functional workflows stay within the same hub Balanced adoption curve </w:t>
            </w:r>
          </w:p>
        </w:tc>
        <w:tc>
          <w:tcPr>
            <w:tcW w:type="pct" w:w="3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 Slightly more files than Option B Some cross-hub lookups needed (e.g., employee hired in Hub 1 transitions to Hub 2) Requires agreement on 2 hub owners </w:t>
            </w:r>
          </w:p>
        </w:tc>
      </w:tr>
    </w:tbl>
    <w:p>
      <w:pPr>
        <w:spacing w:after="200" w:before="0"/>
      </w:pPr>
    </w:p>
    <w:p>
      <w:pPr>
        <w:pStyle w:val="Heading2"/>
        <w:spacing w:after="120" w:before="360" w:line="312" w:lineRule="auto"/>
      </w:pPr>
      <w:r>
        <w:rPr>
          <w:rFonts w:ascii="Calibri" w:cs="Calibri" w:eastAsia="Calibri" w:hAnsi="Calibri"/>
          <w:color w:val="1F4E79"/>
          <w:sz w:val="32"/>
          <w:szCs w:val="32"/>
        </w:rPr>
        <w:t xml:space="preserve">Shared Documents (Included in All Options)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Regardless of which option is selected, all three configurations include the same four shared documents: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Consolidated Operations Guide</w:t>
      </w:r>
      <w:r>
        <w:rPr>
          <w:rFonts w:ascii="Calibri" w:cs="Calibri" w:eastAsia="Calibri" w:hAnsi="Calibri"/>
          <w:b w:val="false"/>
          <w:bCs w:val="false"/>
          <w:i w:val="false"/>
          <w:iCs w:val="false"/>
          <w:strike w:val="false"/>
          <w:color w:val="000000"/>
          <w:sz w:val="22"/>
          <w:szCs w:val="22"/>
        </w:rPr>
        <w:t xml:space="preserve"> — Master reference combining all process documentation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Consolidated New Hire Kit</w:t>
      </w:r>
      <w:r>
        <w:rPr>
          <w:rFonts w:ascii="Calibri" w:cs="Calibri" w:eastAsia="Calibri" w:hAnsi="Calibri"/>
          <w:b w:val="false"/>
          <w:bCs w:val="false"/>
          <w:i w:val="false"/>
          <w:iCs w:val="false"/>
          <w:strike w:val="false"/>
          <w:color w:val="000000"/>
          <w:sz w:val="22"/>
          <w:szCs w:val="22"/>
        </w:rPr>
        <w:t xml:space="preserve"> — Day One Packet + Surge Activation Notice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Surge Hiring Playbook (Slide Deck)</w:t>
      </w:r>
      <w:r>
        <w:rPr>
          <w:rFonts w:ascii="Calibri" w:cs="Calibri" w:eastAsia="Calibri" w:hAnsi="Calibri"/>
          <w:b w:val="false"/>
          <w:bCs w:val="false"/>
          <w:i w:val="false"/>
          <w:iCs w:val="false"/>
          <w:strike w:val="false"/>
          <w:color w:val="000000"/>
          <w:sz w:val="22"/>
          <w:szCs w:val="22"/>
        </w:rPr>
        <w:t xml:space="preserve"> — Visual overview for stakeholder briefings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Lessons Learned / After-Action Report</w:t>
      </w:r>
      <w:r>
        <w:rPr>
          <w:rFonts w:ascii="Calibri" w:cs="Calibri" w:eastAsia="Calibri" w:hAnsi="Calibri"/>
          <w:b w:val="false"/>
          <w:bCs w:val="false"/>
          <w:i w:val="false"/>
          <w:iCs w:val="false"/>
          <w:strike w:val="false"/>
          <w:color w:val="000000"/>
          <w:sz w:val="22"/>
          <w:szCs w:val="22"/>
        </w:rPr>
        <w:t xml:space="preserve"> — Continuous improvement tracking</w:t>
      </w:r>
    </w:p>
    <w:p>
      <w:pPr>
        <w:pStyle w:val="Heading2"/>
        <w:spacing w:after="120" w:before="360" w:line="312" w:lineRule="auto"/>
      </w:pPr>
      <w:r>
        <w:rPr>
          <w:rFonts w:ascii="Calibri" w:cs="Calibri" w:eastAsia="Calibri" w:hAnsi="Calibri"/>
          <w:color w:val="1F4E79"/>
          <w:sz w:val="32"/>
          <w:szCs w:val="32"/>
        </w:rPr>
        <w:t xml:space="preserve">Recommendation</w:t>
      </w:r>
    </w:p>
    <w:p>
      <w:pPr>
        <w:spacing w:after="120" w:before="60" w:line="360" w:lineRule="auto"/>
      </w:pPr>
      <w:r>
        <w:rPr>
          <w:rFonts w:ascii="Calibri" w:cs="Calibri" w:eastAsia="Calibri" w:hAnsi="Calibri"/>
          <w:b/>
          <w:bCs/>
          <w:i w:val="false"/>
          <w:iCs w:val="false"/>
          <w:strike w:val="false"/>
          <w:color w:val="000000"/>
          <w:sz w:val="22"/>
          <w:szCs w:val="22"/>
        </w:rPr>
        <w:t xml:space="preserve">Option C (Hybrid Model) is the recommended path forward.</w:t>
      </w:r>
      <w:r>
        <w:rPr>
          <w:rFonts w:ascii="Calibri" w:cs="Calibri" w:eastAsia="Calibri" w:hAnsi="Calibri"/>
          <w:b w:val="false"/>
          <w:bCs w:val="false"/>
          <w:i w:val="false"/>
          <w:iCs w:val="false"/>
          <w:strike w:val="false"/>
          <w:color w:val="000000"/>
          <w:sz w:val="22"/>
          <w:szCs w:val="22"/>
        </w:rPr>
        <w:t xml:space="preserve"> It provides the best balance of simplicity, functionality, and scalability for our team's current size and operational tempo. By grouping recruiting and security clearance processing into Hub 1, the model preserves the natural workflow where a new hire moves from requisition through clearance without switching files. Hub 2 then captures operations and employee management for the post-hire lifecycle. With only two spreadsheet files to version control, two clear hub owners, and manageable file sizes that won't degrade performance, Option C positions the team for efficient operations today while leaving room to scale if the surge expands.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F4E79" w:sz="6"/>
              <w:left w:val="single" w:color="1F4E79" w:sz="6"/>
              <w:bottom w:val="single" w:color="1F4E79" w:sz="6"/>
              <w:right w:val="single" w:color="1F4E79" w:sz="6"/>
            </w:tcBorders>
            <w:shd w:fill="E8EEF7" w:color="auto" w:val="clear"/>
            <w:tcMar>
              <w:top w:type="dxa" w:w="180"/>
              <w:left w:type="dxa" w:w="180"/>
              <w:bottom w:type="dxa" w:w="180"/>
              <w:right w:type="dxa" w:w="180"/>
            </w:tcMar>
          </w:tcPr>
          <w:p>
            <w:pPr>
              <w:spacing w:after="120" w:line="360" w:lineRule="auto"/>
            </w:pPr>
            <w:r>
              <w:rPr>
                <w:rFonts w:ascii="Calibri" w:cs="Calibri" w:eastAsia="Calibri" w:hAnsi="Calibri"/>
                <w:b/>
                <w:bCs/>
                <w:i w:val="false"/>
                <w:iCs w:val="false"/>
                <w:strike w:val="false"/>
                <w:color w:val="1F4E79"/>
                <w:sz w:val="22"/>
                <w:szCs w:val="22"/>
              </w:rPr>
              <w:t xml:space="preserve">✍ How to Vote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Please review all three options and reply with your preferred choice by </w:t>
            </w:r>
            <w:r>
              <w:rPr>
                <w:rFonts w:ascii="Calibri" w:cs="Calibri" w:eastAsia="Calibri" w:hAnsi="Calibri"/>
                <w:b/>
                <w:bCs/>
                <w:i w:val="false"/>
                <w:iCs w:val="false"/>
                <w:strike w:val="false"/>
                <w:color w:val="000000"/>
                <w:sz w:val="22"/>
                <w:szCs w:val="22"/>
              </w:rPr>
              <w:t xml:space="preserve">Friday, April 24, 2026</w:t>
            </w:r>
            <w:r>
              <w:rPr>
                <w:rFonts w:ascii="Calibri" w:cs="Calibri" w:eastAsia="Calibri" w:hAnsi="Calibri"/>
                <w:b w:val="false"/>
                <w:bCs w:val="false"/>
                <w:i w:val="false"/>
                <w:iCs w:val="false"/>
                <w:strike w:val="false"/>
                <w:color w:val="000000"/>
                <w:sz w:val="22"/>
                <w:szCs w:val="22"/>
              </w:rPr>
              <w:t xml:space="preserv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Options are available for hands-on review in the shared toolkit folder.</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Questions? Contact your Program Manager for a walkthrough.</w:t>
            </w:r>
          </w:p>
        </w:tc>
      </w:tr>
    </w:tbl>
    <w:p>
      <w:pPr>
        <w:spacing w:after="240" w:before="0"/>
      </w:pPr>
    </w:p>
    <w:p>
      <w:pPr>
        <w:pBdr>
          <w:bottom w:val="single" w:color="1F4E79" w:sz="6"/>
        </w:pBdr>
        <w:spacing w:after="240" w:before="240"/>
      </w:pPr>
    </w:p>
    <w:p>
      <w:pPr>
        <w:spacing w:after="60" w:before="60" w:line="360" w:lineRule="auto"/>
      </w:pPr>
      <w:r>
        <w:rPr>
          <w:rFonts w:ascii="Calibri" w:cs="Calibri" w:eastAsia="Calibri" w:hAnsi="Calibri"/>
          <w:b w:val="false"/>
          <w:bCs w:val="false"/>
          <w:i w:val="false"/>
          <w:iCs w:val="false"/>
          <w:strike w:val="false"/>
          <w:color w:val="666666"/>
          <w:sz w:val="22"/>
          <w:szCs w:val="22"/>
        </w:rPr>
        <w:t xml:space="preserve">Document Version: 1.0   |   April 20, 2026   |   Program Management Office</w:t>
      </w:r>
    </w:p>
    <w:p>
      <w:pPr>
        <w:spacing w:after="60" w:before="60" w:line="360" w:lineRule="auto"/>
      </w:pPr>
      <w:r>
        <w:rPr>
          <w:rFonts w:ascii="Calibri" w:cs="Calibri" w:eastAsia="Calibri" w:hAnsi="Calibri"/>
          <w:b w:val="false"/>
          <w:bCs w:val="false"/>
          <w:i w:val="false"/>
          <w:iCs w:val="false"/>
          <w:strike w:val="false"/>
          <w:color w:val="666666"/>
          <w:sz w:val="22"/>
          <w:szCs w:val="22"/>
        </w:rPr>
        <w:t xml:space="preserve">All three options include full automation: conditional formatting, calculated fields, dropdowns, and dashboard metrics.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4H2EaFbR3idPEnBUWXH4a</dc:title>
  <dc:creator>Un-named</dc:creator>
  <dc:description>Generated document</dc:description>
  <cp:lastModifiedBy>Un-named</cp:lastModifiedBy>
  <cp:revision>1</cp:revision>
  <dcterms:created xsi:type="dcterms:W3CDTF">2026-04-21T01:20:27.305Z</dcterms:created>
  <dcterms:modified xsi:type="dcterms:W3CDTF">2026-04-21T01:20:27.306Z</dcterms:modified>
</cp:coreProperties>
</file>

<file path=docProps/custom.xml><?xml version="1.0" encoding="utf-8"?>
<Properties xmlns="http://schemas.openxmlformats.org/officeDocument/2006/custom-properties" xmlns:vt="http://schemas.openxmlformats.org/officeDocument/2006/docPropsVTypes"/>
</file>