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B2" w:rsidRDefault="0062316F">
      <w:pPr>
        <w:spacing w:after="0"/>
        <w:ind w:left="99"/>
        <w:jc w:val="center"/>
      </w:pPr>
      <w:r>
        <w:rPr>
          <w:rFonts w:ascii="細明體" w:eastAsia="細明體" w:hAnsi="細明體" w:cs="細明體"/>
          <w:sz w:val="64"/>
        </w:rPr>
        <w:t>使用案例規格</w:t>
      </w:r>
      <w:r>
        <w:rPr>
          <w:sz w:val="72"/>
        </w:rPr>
        <w:t xml:space="preserve"> </w:t>
      </w:r>
    </w:p>
    <w:p w:rsidR="00A628B2" w:rsidRDefault="0062316F">
      <w:pPr>
        <w:numPr>
          <w:ilvl w:val="0"/>
          <w:numId w:val="1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使用案例名稱</w:t>
      </w:r>
      <w:r>
        <w:rPr>
          <w:sz w:val="40"/>
        </w:rPr>
        <w:t>:</w:t>
      </w:r>
      <w:r>
        <w:rPr>
          <w:rFonts w:ascii="細明體" w:eastAsia="細明體" w:hAnsi="細明體" w:cs="細明體"/>
          <w:sz w:val="40"/>
        </w:rPr>
        <w:t>交聊天室的使用</w:t>
      </w:r>
      <w:r>
        <w:rPr>
          <w:sz w:val="40"/>
        </w:rPr>
        <w:t xml:space="preserve"> </w:t>
      </w:r>
    </w:p>
    <w:p w:rsidR="00A628B2" w:rsidRDefault="0062316F">
      <w:pPr>
        <w:spacing w:after="122"/>
      </w:pP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1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使用案例簡述</w:t>
      </w:r>
      <w:r>
        <w:rPr>
          <w:sz w:val="40"/>
        </w:rPr>
        <w:t xml:space="preserve">: </w:t>
      </w:r>
    </w:p>
    <w:p w:rsidR="00A628B2" w:rsidRDefault="0062316F">
      <w:pPr>
        <w:spacing w:after="151" w:line="256" w:lineRule="auto"/>
        <w:ind w:left="430" w:hanging="10"/>
      </w:pPr>
      <w:r>
        <w:rPr>
          <w:rFonts w:ascii="細明體" w:eastAsia="細明體" w:hAnsi="細明體" w:cs="細明體"/>
          <w:sz w:val="40"/>
        </w:rPr>
        <w:t>這個使用案例描述交友軟體使用者如何使用</w:t>
      </w:r>
      <w:r>
        <w:rPr>
          <w:sz w:val="40"/>
        </w:rPr>
        <w:t xml:space="preserve">  </w:t>
      </w:r>
      <w:r>
        <w:rPr>
          <w:rFonts w:ascii="細明體" w:eastAsia="細明體" w:hAnsi="細明體" w:cs="細明體"/>
          <w:sz w:val="40"/>
        </w:rPr>
        <w:t>聊天室聊天</w:t>
      </w: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1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行動者</w:t>
      </w:r>
      <w:r>
        <w:rPr>
          <w:sz w:val="40"/>
        </w:rPr>
        <w:t xml:space="preserve">: </w:t>
      </w:r>
      <w:r>
        <w:rPr>
          <w:rFonts w:ascii="細明體" w:eastAsia="細明體" w:hAnsi="細明體" w:cs="細明體"/>
          <w:sz w:val="40"/>
        </w:rPr>
        <w:t>軟體使用者軟體管理者</w:t>
      </w:r>
      <w:r>
        <w:rPr>
          <w:sz w:val="40"/>
        </w:rPr>
        <w:t xml:space="preserve"> </w:t>
      </w:r>
    </w:p>
    <w:p w:rsidR="00A628B2" w:rsidRDefault="0062316F">
      <w:pPr>
        <w:spacing w:after="121"/>
        <w:ind w:left="420"/>
      </w:pP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1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基本流程</w:t>
      </w:r>
      <w:r>
        <w:rPr>
          <w:sz w:val="40"/>
        </w:rPr>
        <w:t xml:space="preserve">: </w:t>
      </w:r>
    </w:p>
    <w:p w:rsidR="00A628B2" w:rsidRDefault="0062316F">
      <w:pPr>
        <w:spacing w:after="8" w:line="256" w:lineRule="auto"/>
        <w:ind w:left="-5" w:hanging="10"/>
      </w:pPr>
      <w:r>
        <w:rPr>
          <w:sz w:val="40"/>
        </w:rPr>
        <w:t>1.</w:t>
      </w:r>
      <w:r>
        <w:rPr>
          <w:rFonts w:ascii="細明體" w:eastAsia="細明體" w:hAnsi="細明體" w:cs="細明體"/>
          <w:sz w:val="40"/>
        </w:rPr>
        <w:t>使用案例開始於使用者打開軟體的介面</w:t>
      </w:r>
      <w:r>
        <w:rPr>
          <w:sz w:val="40"/>
        </w:rPr>
        <w:t xml:space="preserve"> </w:t>
      </w:r>
    </w:p>
    <w:p w:rsidR="0062316F" w:rsidRDefault="0062316F" w:rsidP="0062316F">
      <w:pPr>
        <w:pStyle w:val="1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>
        <w:t>打開聊天室介面</w:t>
      </w:r>
      <w:r>
        <w:rPr>
          <w:rFonts w:ascii="Calibri" w:eastAsia="Calibri" w:hAnsi="Calibri" w:cs="Calibri"/>
        </w:rPr>
        <w:t xml:space="preserve"> </w:t>
      </w:r>
    </w:p>
    <w:p w:rsidR="0062316F" w:rsidRDefault="0062316F">
      <w:pPr>
        <w:pStyle w:val="1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</w:t>
      </w:r>
      <w:r>
        <w:t>選擇一個喜歡的話題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62316F" w:rsidRDefault="0062316F">
      <w:pPr>
        <w:pStyle w:val="1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t>等待對方回覆</w:t>
      </w:r>
      <w:r>
        <w:rPr>
          <w:rFonts w:ascii="Calibri" w:eastAsia="Calibri" w:hAnsi="Calibri" w:cs="Calibri"/>
        </w:rPr>
        <w:t xml:space="preserve"> </w:t>
      </w:r>
    </w:p>
    <w:p w:rsidR="0062316F" w:rsidRDefault="0062316F">
      <w:pPr>
        <w:pStyle w:val="1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t>對方回覆後</w:t>
      </w:r>
      <w:r>
        <w:rPr>
          <w:rFonts w:ascii="Calibri" w:eastAsia="Calibri" w:hAnsi="Calibri" w:cs="Calibri"/>
        </w:rPr>
        <w:t xml:space="preserve"> </w:t>
      </w:r>
      <w:r>
        <w:t>可傳送其他文字訊息</w:t>
      </w:r>
      <w:r>
        <w:rPr>
          <w:rFonts w:ascii="Calibri" w:eastAsia="Calibri" w:hAnsi="Calibri" w:cs="Calibri"/>
        </w:rPr>
        <w:t xml:space="preserve"> </w:t>
      </w:r>
      <w:r>
        <w:t>貼圖</w:t>
      </w:r>
      <w:r>
        <w:rPr>
          <w:rFonts w:ascii="Calibri" w:eastAsia="Calibri" w:hAnsi="Calibri" w:cs="Calibri"/>
        </w:rPr>
        <w:t xml:space="preserve"> </w:t>
      </w:r>
    </w:p>
    <w:p w:rsidR="00A628B2" w:rsidRDefault="0062316F">
      <w:pPr>
        <w:pStyle w:val="1"/>
        <w:ind w:left="-5"/>
      </w:pPr>
      <w:r>
        <w:rPr>
          <w:rFonts w:ascii="Calibri" w:eastAsia="Calibri" w:hAnsi="Calibri" w:cs="Calibri"/>
        </w:rPr>
        <w:t>6.</w:t>
      </w:r>
      <w:r>
        <w:t>聊天達一定程度時開啟視訊</w:t>
      </w:r>
      <w:r>
        <w:rPr>
          <w:rFonts w:ascii="Calibri" w:eastAsia="Calibri" w:hAnsi="Calibri" w:cs="Calibri"/>
        </w:rPr>
        <w:t xml:space="preserve"> </w:t>
      </w:r>
      <w:r>
        <w:t>通話功能</w:t>
      </w:r>
      <w:r>
        <w:rPr>
          <w:rFonts w:ascii="Calibri" w:eastAsia="Calibri" w:hAnsi="Calibri" w:cs="Calibri"/>
        </w:rPr>
        <w:t xml:space="preserve"> </w:t>
      </w:r>
    </w:p>
    <w:p w:rsidR="00A628B2" w:rsidRDefault="0062316F">
      <w:pPr>
        <w:spacing w:after="8" w:line="256" w:lineRule="auto"/>
        <w:ind w:left="-5" w:hanging="10"/>
      </w:pPr>
      <w:r>
        <w:rPr>
          <w:sz w:val="40"/>
        </w:rPr>
        <w:t>7.</w:t>
      </w:r>
      <w:r>
        <w:rPr>
          <w:rFonts w:ascii="細明體" w:eastAsia="細明體" w:hAnsi="細明體" w:cs="細明體"/>
          <w:sz w:val="40"/>
        </w:rPr>
        <w:t>使用者結束聊天</w:t>
      </w:r>
      <w:r>
        <w:rPr>
          <w:sz w:val="40"/>
        </w:rPr>
        <w:t xml:space="preserve"> </w:t>
      </w:r>
      <w:r>
        <w:rPr>
          <w:rFonts w:ascii="細明體" w:eastAsia="細明體" w:hAnsi="細明體" w:cs="細明體"/>
          <w:sz w:val="40"/>
        </w:rPr>
        <w:t>關閉交友軟體</w:t>
      </w:r>
      <w:r>
        <w:rPr>
          <w:sz w:val="40"/>
        </w:rPr>
        <w:t xml:space="preserve"> </w:t>
      </w:r>
    </w:p>
    <w:p w:rsidR="00A628B2" w:rsidRDefault="0062316F">
      <w:pPr>
        <w:spacing w:after="8" w:line="256" w:lineRule="auto"/>
        <w:ind w:left="-5" w:hanging="10"/>
      </w:pPr>
      <w:r>
        <w:rPr>
          <w:sz w:val="40"/>
        </w:rPr>
        <w:t>8.</w:t>
      </w:r>
      <w:r>
        <w:rPr>
          <w:rFonts w:ascii="細明體" w:eastAsia="細明體" w:hAnsi="細明體" w:cs="細明體"/>
          <w:sz w:val="40"/>
        </w:rPr>
        <w:t>使用者案例結束</w:t>
      </w:r>
      <w:r>
        <w:rPr>
          <w:sz w:val="40"/>
        </w:rPr>
        <w:t xml:space="preserve"> </w:t>
      </w:r>
    </w:p>
    <w:p w:rsidR="00A628B2" w:rsidRDefault="0062316F">
      <w:pPr>
        <w:spacing w:after="119"/>
      </w:pPr>
      <w:r>
        <w:rPr>
          <w:sz w:val="40"/>
        </w:rPr>
        <w:t xml:space="preserve"> </w:t>
      </w:r>
    </w:p>
    <w:p w:rsidR="00A628B2" w:rsidRDefault="0062316F">
      <w:pPr>
        <w:spacing w:after="8" w:line="256" w:lineRule="auto"/>
        <w:ind w:left="-5" w:hanging="10"/>
      </w:pPr>
      <w:proofErr w:type="gramStart"/>
      <w:r>
        <w:rPr>
          <w:rFonts w:ascii="Microsoft JhengHei UI" w:eastAsia="Microsoft JhengHei UI" w:hAnsi="Microsoft JhengHei UI" w:cs="Microsoft JhengHei UI"/>
          <w:sz w:val="40"/>
        </w:rPr>
        <w:t>•</w:t>
      </w:r>
      <w:proofErr w:type="gramEnd"/>
      <w:r>
        <w:rPr>
          <w:rFonts w:ascii="Microsoft JhengHei UI" w:eastAsia="Microsoft JhengHei UI" w:hAnsi="Microsoft JhengHei UI" w:cs="Microsoft JhengHei UI"/>
          <w:sz w:val="40"/>
        </w:rPr>
        <w:t xml:space="preserve"> </w:t>
      </w:r>
      <w:r>
        <w:rPr>
          <w:rFonts w:ascii="細明體" w:eastAsia="細明體" w:hAnsi="細明體" w:cs="細明體"/>
          <w:sz w:val="40"/>
        </w:rPr>
        <w:t>替代流程</w:t>
      </w:r>
      <w:r>
        <w:rPr>
          <w:sz w:val="40"/>
        </w:rPr>
        <w:t xml:space="preserve">: </w:t>
      </w:r>
    </w:p>
    <w:p w:rsidR="00A628B2" w:rsidRDefault="0062316F">
      <w:pPr>
        <w:spacing w:after="43" w:line="256" w:lineRule="auto"/>
        <w:ind w:left="-5" w:hanging="10"/>
      </w:pPr>
      <w:r>
        <w:rPr>
          <w:sz w:val="40"/>
        </w:rPr>
        <w:t xml:space="preserve">5.1 </w:t>
      </w:r>
      <w:r>
        <w:rPr>
          <w:rFonts w:ascii="細明體" w:eastAsia="細明體" w:hAnsi="細明體" w:cs="細明體"/>
          <w:sz w:val="40"/>
        </w:rPr>
        <w:t>於流程十一步，使用者言語不當或不當交易</w:t>
      </w:r>
      <w:r>
        <w:rPr>
          <w:sz w:val="40"/>
        </w:rPr>
        <w:t xml:space="preserve"> </w:t>
      </w:r>
    </w:p>
    <w:p w:rsidR="00A628B2" w:rsidRDefault="0062316F">
      <w:pPr>
        <w:pStyle w:val="1"/>
        <w:spacing w:after="56"/>
        <w:ind w:left="629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t>可向</w:t>
      </w:r>
      <w:r>
        <w:rPr>
          <w:rFonts w:ascii="細明體" w:eastAsia="細明體" w:hAnsi="細明體" w:cs="細明體"/>
        </w:rPr>
        <w:t>該使用者</w:t>
      </w:r>
      <w:r>
        <w:t>按檢舉鍵</w:t>
      </w:r>
      <w:r>
        <w:rPr>
          <w:rFonts w:ascii="Calibri" w:eastAsia="Calibri" w:hAnsi="Calibri" w:cs="Calibri"/>
        </w:rPr>
        <w:t xml:space="preserve"> </w:t>
      </w:r>
    </w:p>
    <w:p w:rsidR="00A628B2" w:rsidRDefault="0062316F">
      <w:pPr>
        <w:numPr>
          <w:ilvl w:val="0"/>
          <w:numId w:val="2"/>
        </w:numPr>
        <w:spacing w:after="8" w:line="256" w:lineRule="auto"/>
        <w:ind w:hanging="641"/>
      </w:pPr>
      <w:r>
        <w:rPr>
          <w:rFonts w:ascii="SimSun" w:eastAsia="SimSun" w:hAnsi="SimSun" w:cs="SimSun"/>
          <w:sz w:val="40"/>
        </w:rPr>
        <w:t>待</w:t>
      </w:r>
      <w:r>
        <w:rPr>
          <w:rFonts w:ascii="細明體" w:eastAsia="細明體" w:hAnsi="細明體" w:cs="細明體"/>
          <w:sz w:val="40"/>
        </w:rPr>
        <w:t>後台</w:t>
      </w:r>
      <w:r>
        <w:rPr>
          <w:rFonts w:ascii="細明體" w:eastAsia="細明體" w:hAnsi="細明體" w:cs="細明體"/>
          <w:sz w:val="40"/>
        </w:rPr>
        <w:t xml:space="preserve"> </w:t>
      </w:r>
      <w:r>
        <w:rPr>
          <w:sz w:val="40"/>
        </w:rPr>
        <w:t xml:space="preserve">app </w:t>
      </w:r>
      <w:r>
        <w:rPr>
          <w:rFonts w:ascii="細明體" w:eastAsia="細明體" w:hAnsi="細明體" w:cs="細明體"/>
          <w:sz w:val="40"/>
        </w:rPr>
        <w:t>開發人員</w:t>
      </w:r>
      <w:r>
        <w:rPr>
          <w:rFonts w:ascii="SimSun" w:eastAsia="SimSun" w:hAnsi="SimSun" w:cs="SimSun"/>
          <w:sz w:val="40"/>
        </w:rPr>
        <w:t>審核</w:t>
      </w: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2"/>
        </w:numPr>
        <w:spacing w:after="33" w:line="256" w:lineRule="auto"/>
        <w:ind w:hanging="641"/>
      </w:pPr>
      <w:r>
        <w:rPr>
          <w:rFonts w:ascii="SimSun" w:eastAsia="SimSun" w:hAnsi="SimSun" w:cs="SimSun"/>
          <w:sz w:val="40"/>
        </w:rPr>
        <w:lastRenderedPageBreak/>
        <w:t>如屬實則向</w:t>
      </w:r>
      <w:r>
        <w:rPr>
          <w:rFonts w:ascii="細明體" w:eastAsia="細明體" w:hAnsi="細明體" w:cs="細明體"/>
          <w:sz w:val="40"/>
        </w:rPr>
        <w:t>檢舉者與被檢舉者傳送審核結果</w:t>
      </w: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2"/>
        </w:numPr>
        <w:spacing w:after="8" w:line="256" w:lineRule="auto"/>
        <w:ind w:hanging="641"/>
      </w:pPr>
      <w:r>
        <w:rPr>
          <w:rFonts w:ascii="細明體" w:eastAsia="細明體" w:hAnsi="細明體" w:cs="細明體"/>
          <w:sz w:val="40"/>
        </w:rPr>
        <w:t>將被檢舉者註銷帳號</w:t>
      </w:r>
      <w:r>
        <w:rPr>
          <w:sz w:val="40"/>
        </w:rPr>
        <w:t xml:space="preserve"> </w:t>
      </w:r>
    </w:p>
    <w:p w:rsidR="00A628B2" w:rsidRDefault="0062316F">
      <w:pPr>
        <w:spacing w:after="119"/>
      </w:pPr>
      <w:r>
        <w:rPr>
          <w:sz w:val="40"/>
        </w:rPr>
        <w:t xml:space="preserve">          </w:t>
      </w:r>
    </w:p>
    <w:p w:rsidR="00A628B2" w:rsidRDefault="0062316F">
      <w:pPr>
        <w:numPr>
          <w:ilvl w:val="0"/>
          <w:numId w:val="3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前置條件</w:t>
      </w:r>
      <w:r>
        <w:rPr>
          <w:sz w:val="40"/>
        </w:rPr>
        <w:t xml:space="preserve">: </w:t>
      </w:r>
    </w:p>
    <w:p w:rsidR="00A628B2" w:rsidRDefault="0062316F">
      <w:pPr>
        <w:spacing w:after="8" w:line="256" w:lineRule="auto"/>
        <w:ind w:left="430" w:hanging="10"/>
      </w:pPr>
      <w:r>
        <w:rPr>
          <w:rFonts w:ascii="細明體" w:eastAsia="細明體" w:hAnsi="細明體" w:cs="細明體"/>
          <w:sz w:val="40"/>
        </w:rPr>
        <w:t>使用者有正確地在聊天室交友</w:t>
      </w:r>
      <w:r>
        <w:rPr>
          <w:sz w:val="40"/>
        </w:rPr>
        <w:t xml:space="preserve"> </w:t>
      </w:r>
    </w:p>
    <w:p w:rsidR="00A628B2" w:rsidRDefault="0062316F">
      <w:pPr>
        <w:spacing w:after="122"/>
      </w:pP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3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後置條件</w:t>
      </w:r>
      <w:r>
        <w:rPr>
          <w:sz w:val="40"/>
        </w:rPr>
        <w:t xml:space="preserve">: </w:t>
      </w:r>
    </w:p>
    <w:p w:rsidR="00A628B2" w:rsidRDefault="0062316F">
      <w:pPr>
        <w:spacing w:after="4"/>
        <w:ind w:left="430" w:hanging="10"/>
      </w:pPr>
      <w:r>
        <w:rPr>
          <w:rFonts w:ascii="SimSun" w:eastAsia="SimSun" w:hAnsi="SimSun" w:cs="SimSun"/>
          <w:sz w:val="40"/>
        </w:rPr>
        <w:t>聊天達一定程度時開啟視訊</w:t>
      </w:r>
      <w:r>
        <w:rPr>
          <w:sz w:val="40"/>
        </w:rPr>
        <w:t xml:space="preserve"> </w:t>
      </w:r>
      <w:r>
        <w:rPr>
          <w:rFonts w:ascii="SimSun" w:eastAsia="SimSun" w:hAnsi="SimSun" w:cs="SimSun"/>
          <w:sz w:val="40"/>
        </w:rPr>
        <w:t>通話功能</w:t>
      </w:r>
      <w:r>
        <w:rPr>
          <w:sz w:val="40"/>
        </w:rPr>
        <w:t xml:space="preserve"> </w:t>
      </w:r>
    </w:p>
    <w:p w:rsidR="00A628B2" w:rsidRDefault="0062316F">
      <w:pPr>
        <w:spacing w:after="122"/>
        <w:ind w:left="708"/>
      </w:pPr>
      <w:r>
        <w:rPr>
          <w:sz w:val="40"/>
        </w:rPr>
        <w:t xml:space="preserve"> </w:t>
      </w:r>
    </w:p>
    <w:p w:rsidR="00A628B2" w:rsidRDefault="0062316F">
      <w:pPr>
        <w:numPr>
          <w:ilvl w:val="0"/>
          <w:numId w:val="3"/>
        </w:numPr>
        <w:spacing w:after="8" w:line="256" w:lineRule="auto"/>
        <w:ind w:hanging="377"/>
      </w:pPr>
      <w:r>
        <w:rPr>
          <w:rFonts w:ascii="細明體" w:eastAsia="細明體" w:hAnsi="細明體" w:cs="細明體"/>
          <w:sz w:val="40"/>
        </w:rPr>
        <w:t>其他非功能需求</w:t>
      </w:r>
      <w:r>
        <w:rPr>
          <w:sz w:val="40"/>
        </w:rPr>
        <w:t xml:space="preserve">: </w:t>
      </w:r>
    </w:p>
    <w:p w:rsidR="00A628B2" w:rsidRDefault="0062316F">
      <w:pPr>
        <w:pStyle w:val="1"/>
        <w:spacing w:after="0"/>
        <w:ind w:left="420" w:firstLine="0"/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</w:t>
      </w:r>
    </w:p>
    <w:sectPr w:rsidR="00A628B2">
      <w:pgSz w:w="11906" w:h="16838"/>
      <w:pgMar w:top="1516" w:right="1898" w:bottom="185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60E"/>
    <w:multiLevelType w:val="hybridMultilevel"/>
    <w:tmpl w:val="DC0E8B5A"/>
    <w:lvl w:ilvl="0" w:tplc="9D48435A">
      <w:start w:val="2"/>
      <w:numFmt w:val="decimal"/>
      <w:lvlText w:val="%1."/>
      <w:lvlJc w:val="left"/>
      <w:pPr>
        <w:ind w:left="1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4F2726C">
      <w:start w:val="1"/>
      <w:numFmt w:val="lowerLetter"/>
      <w:lvlText w:val="%2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776B6F6">
      <w:start w:val="1"/>
      <w:numFmt w:val="lowerRoman"/>
      <w:lvlText w:val="%3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1E20B26">
      <w:start w:val="1"/>
      <w:numFmt w:val="decimal"/>
      <w:lvlText w:val="%4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BD83342">
      <w:start w:val="1"/>
      <w:numFmt w:val="lowerLetter"/>
      <w:lvlText w:val="%5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8A4755E">
      <w:start w:val="1"/>
      <w:numFmt w:val="lowerRoman"/>
      <w:lvlText w:val="%6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D64A83A">
      <w:start w:val="1"/>
      <w:numFmt w:val="decimal"/>
      <w:lvlText w:val="%7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04E336">
      <w:start w:val="1"/>
      <w:numFmt w:val="lowerLetter"/>
      <w:lvlText w:val="%8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EDAE9E8">
      <w:start w:val="1"/>
      <w:numFmt w:val="lowerRoman"/>
      <w:lvlText w:val="%9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2E2693"/>
    <w:multiLevelType w:val="hybridMultilevel"/>
    <w:tmpl w:val="3B5805A4"/>
    <w:lvl w:ilvl="0" w:tplc="CC6CC2FE">
      <w:start w:val="1"/>
      <w:numFmt w:val="bullet"/>
      <w:lvlText w:val="•"/>
      <w:lvlJc w:val="left"/>
      <w:pPr>
        <w:ind w:left="377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49A518E">
      <w:start w:val="1"/>
      <w:numFmt w:val="bullet"/>
      <w:lvlText w:val="o"/>
      <w:lvlJc w:val="left"/>
      <w:pPr>
        <w:ind w:left="108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BAC0C90">
      <w:start w:val="1"/>
      <w:numFmt w:val="bullet"/>
      <w:lvlText w:val="▪"/>
      <w:lvlJc w:val="left"/>
      <w:pPr>
        <w:ind w:left="180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C52605E">
      <w:start w:val="1"/>
      <w:numFmt w:val="bullet"/>
      <w:lvlText w:val="•"/>
      <w:lvlJc w:val="left"/>
      <w:pPr>
        <w:ind w:left="252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2C2C396">
      <w:start w:val="1"/>
      <w:numFmt w:val="bullet"/>
      <w:lvlText w:val="o"/>
      <w:lvlJc w:val="left"/>
      <w:pPr>
        <w:ind w:left="324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D7CA572">
      <w:start w:val="1"/>
      <w:numFmt w:val="bullet"/>
      <w:lvlText w:val="▪"/>
      <w:lvlJc w:val="left"/>
      <w:pPr>
        <w:ind w:left="396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CAE5FE8">
      <w:start w:val="1"/>
      <w:numFmt w:val="bullet"/>
      <w:lvlText w:val="•"/>
      <w:lvlJc w:val="left"/>
      <w:pPr>
        <w:ind w:left="468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8B2E71A">
      <w:start w:val="1"/>
      <w:numFmt w:val="bullet"/>
      <w:lvlText w:val="o"/>
      <w:lvlJc w:val="left"/>
      <w:pPr>
        <w:ind w:left="540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1D889BA">
      <w:start w:val="1"/>
      <w:numFmt w:val="bullet"/>
      <w:lvlText w:val="▪"/>
      <w:lvlJc w:val="left"/>
      <w:pPr>
        <w:ind w:left="612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47276"/>
    <w:multiLevelType w:val="hybridMultilevel"/>
    <w:tmpl w:val="BC1AE0E0"/>
    <w:lvl w:ilvl="0" w:tplc="B16E3C9A">
      <w:start w:val="1"/>
      <w:numFmt w:val="bullet"/>
      <w:lvlText w:val="•"/>
      <w:lvlJc w:val="left"/>
      <w:pPr>
        <w:ind w:left="377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4E7042">
      <w:start w:val="1"/>
      <w:numFmt w:val="bullet"/>
      <w:lvlText w:val="o"/>
      <w:lvlJc w:val="left"/>
      <w:pPr>
        <w:ind w:left="108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EDE6656">
      <w:start w:val="1"/>
      <w:numFmt w:val="bullet"/>
      <w:lvlText w:val="▪"/>
      <w:lvlJc w:val="left"/>
      <w:pPr>
        <w:ind w:left="180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4B0CFEE">
      <w:start w:val="1"/>
      <w:numFmt w:val="bullet"/>
      <w:lvlText w:val="•"/>
      <w:lvlJc w:val="left"/>
      <w:pPr>
        <w:ind w:left="252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49A8FD0">
      <w:start w:val="1"/>
      <w:numFmt w:val="bullet"/>
      <w:lvlText w:val="o"/>
      <w:lvlJc w:val="left"/>
      <w:pPr>
        <w:ind w:left="324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C12F29E">
      <w:start w:val="1"/>
      <w:numFmt w:val="bullet"/>
      <w:lvlText w:val="▪"/>
      <w:lvlJc w:val="left"/>
      <w:pPr>
        <w:ind w:left="396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2B07E9E">
      <w:start w:val="1"/>
      <w:numFmt w:val="bullet"/>
      <w:lvlText w:val="•"/>
      <w:lvlJc w:val="left"/>
      <w:pPr>
        <w:ind w:left="468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EEC56E8">
      <w:start w:val="1"/>
      <w:numFmt w:val="bullet"/>
      <w:lvlText w:val="o"/>
      <w:lvlJc w:val="left"/>
      <w:pPr>
        <w:ind w:left="540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66AB4DA">
      <w:start w:val="1"/>
      <w:numFmt w:val="bullet"/>
      <w:lvlText w:val="▪"/>
      <w:lvlJc w:val="left"/>
      <w:pPr>
        <w:ind w:left="6120"/>
      </w:pPr>
      <w:rPr>
        <w:rFonts w:ascii="Microsoft JhengHei UI" w:eastAsia="Microsoft JhengHei UI" w:hAnsi="Microsoft JhengHei UI" w:cs="Microsoft JhengHei U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B2"/>
    <w:rsid w:val="0062316F"/>
    <w:rsid w:val="00A6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59BF"/>
  <w15:docId w15:val="{D0C52550-022F-4047-9203-0EE9F0DC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" w:line="259" w:lineRule="auto"/>
      <w:ind w:left="10" w:hanging="10"/>
      <w:outlineLvl w:val="0"/>
    </w:pPr>
    <w:rPr>
      <w:rFonts w:ascii="SimSun" w:eastAsia="SimSun" w:hAnsi="SimSun" w:cs="SimSun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SimSun" w:eastAsia="SimSun" w:hAnsi="SimSun" w:cs="SimSun"/>
      <w:color w:val="000000"/>
      <w:sz w:val="40"/>
    </w:rPr>
  </w:style>
  <w:style w:type="paragraph" w:styleId="a3">
    <w:name w:val="List Paragraph"/>
    <w:basedOn w:val="a"/>
    <w:uiPriority w:val="34"/>
    <w:qFormat/>
    <w:rsid w:val="006231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cp:lastModifiedBy>PC234</cp:lastModifiedBy>
  <cp:revision>2</cp:revision>
  <dcterms:created xsi:type="dcterms:W3CDTF">2019-11-11T10:54:00Z</dcterms:created>
  <dcterms:modified xsi:type="dcterms:W3CDTF">2019-11-11T10:54:00Z</dcterms:modified>
</cp:coreProperties>
</file>