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sz w:val="44"/>
          <w:szCs w:val="44"/>
        </w:rPr>
        <w:t xml:space="preserve">Sistema Web Peluquería &amp; Barbería</w:t>
      </w:r>
    </w:p>
    <w:p>
      <w:pPr>
        <w:spacing w:after="200"/>
        <w:jc w:val="center"/>
      </w:pPr>
      <w:r>
        <w:rPr>
          <w:sz w:val="32"/>
          <w:szCs w:val="32"/>
        </w:rPr>
        <w:t xml:space="preserve">Diagramas actualizados — Módulo de Registro</w:t>
      </w:r>
    </w:p>
    <w:p>
      <w:pPr>
        <w:spacing w:after="100"/>
        <w:jc w:val="center"/>
      </w:pPr>
      <w:r>
        <w:rPr>
          <w:i/>
          <w:iCs/>
          <w:color w:val="555555"/>
          <w:sz w:val="24"/>
          <w:szCs w:val="24"/>
        </w:rPr>
        <w:t xml:space="preserve">Incluye el registro por email y el registro con Google SSO</w:t>
      </w:r>
    </w:p>
    <w:p>
      <w:pPr>
        <w:jc w:val="center"/>
      </w:pPr>
      <w:r>
        <w:rPr>
          <w:color w:val="777777"/>
          <w:sz w:val="22"/>
          <w:szCs w:val="22"/>
        </w:rPr>
        <w:t xml:space="preserve">Actualizado: 17 de septiembre de 2026</w:t>
      </w:r>
    </w:p>
    <w:p>
      <w:pPr>
        <w:pStyle w:val="Heading1"/>
        <w:keepNext/>
        <w:pageBreakBefore/>
        <w:spacing w:after="200" w:before="0"/>
      </w:pPr>
      <w:r>
        <w:rPr>
          <w:b/>
          <w:bCs/>
        </w:rPr>
        <w:t xml:space="preserve">1. Diagrama de Clases</w:t>
      </w:r>
    </w:p>
    <w:p>
      <w:pPr>
        <w:keepNext/>
        <w:spacing w:after="300"/>
      </w:pPr>
      <w:r>
        <w:rPr>
          <w:i/>
          <w:iCs/>
          <w:color w:val="555555"/>
          <w:sz w:val="20"/>
          <w:szCs w:val="20"/>
        </w:rPr>
        <w:t xml:space="preserve">Entidades del dominio de Registro: Usuario, Cliente (extiende a Usuario), Token de Verificación y Log de Auditoría. Cliente incorpora el atributo id_google_sso para las cuentas creadas mediante Google SSO.</w:t>
      </w:r>
    </w:p>
    <w:p>
      <w:pPr>
        <w:jc w:val="center"/>
      </w:pPr>
      <w:r>
        <w:drawing>
          <wp:inline distT="0" distB="0" distL="0" distR="0">
            <wp:extent cx="4846320" cy="731321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731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200" w:before="0"/>
      </w:pPr>
      <w:r>
        <w:rPr>
          <w:b/>
          <w:bCs/>
        </w:rPr>
        <w:t xml:space="preserve">2. DER Lógico (Diagrama Entidad-Relación)</w:t>
      </w:r>
    </w:p>
    <w:p>
      <w:pPr>
        <w:keepNext/>
        <w:spacing w:after="300"/>
      </w:pPr>
      <w:r>
        <w:rPr>
          <w:i/>
          <w:iCs/>
          <w:color w:val="555555"/>
          <w:sz w:val="20"/>
          <w:szCs w:val="20"/>
        </w:rPr>
        <w:t xml:space="preserve">Modelo entidad-relación a nivel lógico: Usuario, Cliente, Token de Verificación y Log de Auditoría, con sus relaciones y cardinalidades.</w:t>
      </w:r>
    </w:p>
    <w:p>
      <w:pPr>
        <w:jc w:val="center"/>
      </w:pPr>
      <w:r>
        <w:drawing>
          <wp:inline distT="0" distB="0" distL="0" distR="0">
            <wp:extent cx="5394960" cy="735840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35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200" w:before="0"/>
      </w:pPr>
      <w:r>
        <w:rPr>
          <w:b/>
          <w:bCs/>
        </w:rPr>
        <w:t xml:space="preserve">3. Diagrama Relacional</w:t>
      </w:r>
    </w:p>
    <w:p>
      <w:pPr>
        <w:keepNext/>
        <w:spacing w:after="300"/>
      </w:pPr>
      <w:r>
        <w:rPr>
          <w:i/>
          <w:iCs/>
          <w:color w:val="555555"/>
          <w:sz w:val="20"/>
          <w:szCs w:val="20"/>
        </w:rPr>
        <w:t xml:space="preserve">Esquema relacional físico, con nombres de tabla y columna reales de la base de datos bksoft (PostgreSQL), tipos de dato, claves primarias (PK), foráneas (FK) y únicas (UK).</w:t>
      </w:r>
    </w:p>
    <w:p>
      <w:pPr>
        <w:jc w:val="center"/>
      </w:pPr>
      <w:r>
        <w:drawing>
          <wp:inline distT="0" distB="0" distL="0" distR="0">
            <wp:extent cx="5394960" cy="727085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2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200" w:before="0"/>
      </w:pPr>
      <w:r>
        <w:rPr>
          <w:b/>
          <w:bCs/>
        </w:rPr>
        <w:t xml:space="preserve">4. Diagrama de Secuencia — Registro por Email</w:t>
      </w:r>
    </w:p>
    <w:p>
      <w:pPr>
        <w:keepNext/>
        <w:spacing w:after="300"/>
      </w:pPr>
      <w:r>
        <w:rPr>
          <w:i/>
          <w:iCs/>
          <w:color w:val="555555"/>
          <w:sz w:val="20"/>
          <w:szCs w:val="20"/>
        </w:rPr>
        <w:t xml:space="preserve">Flujo normal del caso de uso CU-01 (Registrarse) por el canal Email: validación de datos, verificación de unicidad del email, hash de contraseña, alta en base de datos, generación y envío del código de verificación de 6 dígitos.</w:t>
      </w:r>
    </w:p>
    <w:p>
      <w:pPr>
        <w:jc w:val="center"/>
      </w:pPr>
      <w:r>
        <w:drawing>
          <wp:inline distT="0" distB="0" distL="0" distR="0">
            <wp:extent cx="6126480" cy="38759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387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200" w:before="0"/>
      </w:pPr>
      <w:r>
        <w:rPr>
          <w:b/>
          <w:bCs/>
        </w:rPr>
        <w:t xml:space="preserve">5. Diagrama de Secuencia — Registro con Google SSO</w:t>
      </w:r>
    </w:p>
    <w:p>
      <w:pPr>
        <w:keepNext/>
        <w:spacing w:after="300"/>
      </w:pPr>
      <w:r>
        <w:rPr>
          <w:i/>
          <w:iCs/>
          <w:color w:val="555555"/>
          <w:sz w:val="20"/>
          <w:szCs w:val="20"/>
        </w:rPr>
        <w:t xml:space="preserve">Flujo alternativo del CU-01 por Google SSO: autenticación externa, verificación del idToken, chequeo de cuenta existente y, si es cuenta nueva, alta directa en estado "Activo" tras completar celular y fecha de nacimiento (datos que Google no provee).</w:t>
      </w:r>
    </w:p>
    <w:p>
      <w:pPr>
        <w:jc w:val="center"/>
      </w:pPr>
      <w:r>
        <w:drawing>
          <wp:inline distT="0" distB="0" distL="0" distR="0">
            <wp:extent cx="6126480" cy="50715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507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200" w:before="0"/>
      </w:pPr>
      <w:r>
        <w:rPr>
          <w:b/>
          <w:bCs/>
        </w:rPr>
        <w:t xml:space="preserve">6. Diagrama de Validación — Contraseña</w:t>
      </w:r>
    </w:p>
    <w:p>
      <w:pPr>
        <w:keepNext/>
        <w:spacing w:after="300"/>
      </w:pPr>
      <w:r>
        <w:rPr>
          <w:i/>
          <w:iCs/>
          <w:color w:val="555555"/>
          <w:sz w:val="20"/>
          <w:szCs w:val="20"/>
        </w:rPr>
        <w:t xml:space="preserve">Regla de negocio: mínimo 8 caracteres, con al menos una mayúscula, una minúscula y un número.</w:t>
      </w:r>
    </w:p>
    <w:p>
      <w:pPr>
        <w:jc w:val="center"/>
      </w:pPr>
      <w:r>
        <w:drawing>
          <wp:inline distT="0" distB="0" distL="0" distR="0">
            <wp:extent cx="3931920" cy="629698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629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200" w:before="0"/>
      </w:pPr>
      <w:r>
        <w:rPr>
          <w:b/>
          <w:bCs/>
        </w:rPr>
        <w:t xml:space="preserve">7. Diagrama de Validación — Celular</w:t>
      </w:r>
    </w:p>
    <w:p>
      <w:pPr>
        <w:keepNext/>
        <w:spacing w:after="300"/>
      </w:pPr>
      <w:r>
        <w:rPr>
          <w:i/>
          <w:iCs/>
          <w:color w:val="555555"/>
          <w:sz w:val="20"/>
          <w:szCs w:val="20"/>
        </w:rPr>
        <w:t xml:space="preserve">Formato exigido: prefijo +54 seguido de código de área y número, solo dígitos, sin espacios ni guiones.</w:t>
      </w:r>
    </w:p>
    <w:p>
      <w:pPr>
        <w:jc w:val="center"/>
      </w:pPr>
      <w:r>
        <w:drawing>
          <wp:inline distT="0" distB="0" distL="0" distR="0">
            <wp:extent cx="4846320" cy="424547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24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200" w:before="0"/>
      </w:pPr>
      <w:r>
        <w:rPr>
          <w:b/>
          <w:bCs/>
        </w:rPr>
        <w:t xml:space="preserve">8. Diagrama de Validación — Fecha de Nacimiento</w:t>
      </w:r>
    </w:p>
    <w:p>
      <w:pPr>
        <w:keepNext/>
        <w:spacing w:after="300"/>
      </w:pPr>
      <w:r>
        <w:rPr>
          <w:i/>
          <w:iCs/>
          <w:color w:val="555555"/>
          <w:sz w:val="20"/>
          <w:szCs w:val="20"/>
        </w:rPr>
        <w:t xml:space="preserve">La fecha debe ser real, no futura, y corresponder a una edad de entre 18 y 70 años.</w:t>
      </w:r>
    </w:p>
    <w:p>
      <w:pPr>
        <w:jc w:val="center"/>
      </w:pPr>
      <w:r>
        <w:drawing>
          <wp:inline distT="0" distB="0" distL="0" distR="0">
            <wp:extent cx="4572000" cy="674136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74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  <w:spacing w:after="200" w:before="0"/>
      </w:pPr>
      <w:r>
        <w:rPr>
          <w:b/>
          <w:bCs/>
        </w:rPr>
        <w:t xml:space="preserve">9. Diagrama de Validación — Token de Google (SSO)</w:t>
      </w:r>
    </w:p>
    <w:p>
      <w:pPr>
        <w:keepNext/>
        <w:spacing w:after="300"/>
      </w:pPr>
      <w:r>
        <w:rPr>
          <w:i/>
          <w:iCs/>
          <w:color w:val="555555"/>
          <w:sz w:val="20"/>
          <w:szCs w:val="20"/>
        </w:rPr>
        <w:t xml:space="preserve">Verificación del idToken recibido desde Google Identity Services: vigencia, audiencia (Client ID de la aplicación) y email verificado.</w:t>
      </w:r>
    </w:p>
    <w:p>
      <w:pPr>
        <w:jc w:val="center"/>
      </w:pPr>
      <w:r>
        <w:drawing>
          <wp:inline distT="0" distB="0" distL="0" distR="0">
            <wp:extent cx="4480560" cy="705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8827f76367e79782d34d52cda45c2f604bedd5e.png"/><Relationship Id="rId8" Type="http://schemas.openxmlformats.org/officeDocument/2006/relationships/image" Target="media/b1d26c70a0e7a8e801dd2066f84de6c29c24461d.png"/><Relationship Id="rId9" Type="http://schemas.openxmlformats.org/officeDocument/2006/relationships/image" Target="media/6116be14730fc1f9ddee417bdd3902fbc4b45a72.png"/><Relationship Id="rId10" Type="http://schemas.openxmlformats.org/officeDocument/2006/relationships/image" Target="media/ce38271313592210a3f98d80581db3eae3115170.png"/><Relationship Id="rId11" Type="http://schemas.openxmlformats.org/officeDocument/2006/relationships/image" Target="media/626832c5198e65d3bcfd171afb082df0fb57fd73.png"/><Relationship Id="rId12" Type="http://schemas.openxmlformats.org/officeDocument/2006/relationships/image" Target="media/5c6e96834d78ba630f8399af47ab2e4409bcf747.png"/><Relationship Id="rId13" Type="http://schemas.openxmlformats.org/officeDocument/2006/relationships/image" Target="media/8d23b06568e8e962ea4fba69be5c009b2e2b6501.png"/><Relationship Id="rId14" Type="http://schemas.openxmlformats.org/officeDocument/2006/relationships/image" Target="media/806f93407d2ea91b07272e0c2b1a8f4902cfa716.png"/><Relationship Id="rId15" Type="http://schemas.openxmlformats.org/officeDocument/2006/relationships/image" Target="media/76486d3f66622c36eb96198f321963fd8d9a0c7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2026-09-17T21:32:04.812Z</dcterms:created>
  <dcterms:modified xsi:type="dcterms:W3CDTF">2026-09-17T21:32:04.812Z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