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BF695" w14:textId="77777777" w:rsidR="00D801AA" w:rsidRDefault="00D801AA" w:rsidP="004E2C59">
      <w:pPr>
        <w:rPr>
          <w:rFonts w:asciiTheme="majorHAnsi" w:eastAsia="Times New Roman" w:hAnsiTheme="majorHAnsi" w:cstheme="majorHAnsi"/>
        </w:rPr>
      </w:pPr>
    </w:p>
    <w:p w14:paraId="2C3A3597" w14:textId="2BE69D0A" w:rsidR="004E788E" w:rsidRDefault="004E788E" w:rsidP="00774C73">
      <w:pPr>
        <w:pStyle w:val="Title"/>
        <w:jc w:val="center"/>
      </w:pPr>
      <w:proofErr w:type="spellStart"/>
      <w:r>
        <w:t>Kiniksa</w:t>
      </w:r>
      <w:proofErr w:type="spellEnd"/>
      <w:r>
        <w:t xml:space="preserve"> </w:t>
      </w:r>
      <w:r w:rsidR="25AF111A">
        <w:t xml:space="preserve">QMS </w:t>
      </w:r>
      <w:r>
        <w:t>SO</w:t>
      </w:r>
      <w:r w:rsidR="1E72C203">
        <w:t>P</w:t>
      </w:r>
      <w:r>
        <w:t xml:space="preserve"> Review for </w:t>
      </w:r>
      <w:r w:rsidR="00774C73">
        <w:t>25Q2 KPL-387 Strategic Roadmap</w:t>
      </w:r>
      <w:r w:rsidR="17F81242">
        <w:t xml:space="preserve"> Project</w:t>
      </w:r>
    </w:p>
    <w:p w14:paraId="7715A330" w14:textId="4763BAD9" w:rsidR="004E788E" w:rsidRDefault="00656355" w:rsidP="00155C5E">
      <w:pPr>
        <w:rPr>
          <w:rFonts w:asciiTheme="majorHAnsi" w:hAnsiTheme="majorHAnsi" w:cstheme="majorHAnsi"/>
          <w:b/>
          <w:bCs/>
          <w:sz w:val="32"/>
          <w:szCs w:val="32"/>
        </w:rPr>
      </w:pPr>
      <w:r>
        <w:rPr>
          <w:rFonts w:asciiTheme="majorHAnsi" w:eastAsia="Times New Roman" w:hAnsiTheme="majorHAnsi" w:cstheme="majorHAnsi"/>
        </w:rPr>
        <w:pict w14:anchorId="0371FF81">
          <v:rect id="_x0000_i1025" style="width:0;height:1.5pt" o:hralign="center" o:hrstd="t" o:hr="t" fillcolor="#a0a0a0" stroked="f"/>
        </w:pict>
      </w:r>
    </w:p>
    <w:p w14:paraId="1D11571C" w14:textId="77777777" w:rsidR="00AF6585" w:rsidRDefault="00AF6585" w:rsidP="00155C5E">
      <w:pPr>
        <w:rPr>
          <w:rFonts w:asciiTheme="majorHAnsi" w:hAnsiTheme="majorHAnsi" w:cstheme="majorHAnsi"/>
          <w:b/>
          <w:bCs/>
          <w:sz w:val="32"/>
          <w:szCs w:val="32"/>
        </w:rPr>
      </w:pPr>
    </w:p>
    <w:p w14:paraId="5CAD2921" w14:textId="10656646" w:rsidR="00155C5E" w:rsidRPr="00155C5E" w:rsidRDefault="00155C5E" w:rsidP="00155C5E">
      <w:pPr>
        <w:rPr>
          <w:rFonts w:asciiTheme="majorHAnsi" w:hAnsiTheme="majorHAnsi" w:cstheme="majorHAnsi"/>
          <w:b/>
          <w:bCs/>
          <w:sz w:val="32"/>
          <w:szCs w:val="32"/>
        </w:rPr>
      </w:pPr>
      <w:r w:rsidRPr="00155C5E">
        <w:rPr>
          <w:rFonts w:asciiTheme="majorHAnsi" w:hAnsiTheme="majorHAnsi" w:cstheme="majorHAnsi"/>
          <w:b/>
          <w:bCs/>
          <w:sz w:val="32"/>
          <w:szCs w:val="32"/>
        </w:rPr>
        <w:t>Scope Statement</w:t>
      </w:r>
    </w:p>
    <w:p w14:paraId="24BB3C1A" w14:textId="77777777" w:rsidR="00672634" w:rsidRDefault="00672634" w:rsidP="00155C5E">
      <w:pPr>
        <w:rPr>
          <w:rFonts w:asciiTheme="majorHAnsi" w:hAnsiTheme="majorHAnsi" w:cstheme="majorHAnsi"/>
        </w:rPr>
      </w:pPr>
    </w:p>
    <w:p w14:paraId="7A0FD1B8" w14:textId="3DFD7ED9" w:rsidR="00155C5E" w:rsidRDefault="00155C5E" w:rsidP="00155C5E">
      <w:pPr>
        <w:rPr>
          <w:rFonts w:asciiTheme="majorHAnsi" w:hAnsiTheme="majorHAnsi" w:cstheme="majorHAnsi"/>
        </w:rPr>
      </w:pPr>
      <w:r w:rsidRPr="00155C5E">
        <w:rPr>
          <w:rFonts w:asciiTheme="majorHAnsi" w:hAnsiTheme="majorHAnsi" w:cstheme="majorHAnsi"/>
        </w:rPr>
        <w:t xml:space="preserve">This Quality System Review evaluated the compliance and integration of the following quality management system (QMS) procedures and supporting documents from </w:t>
      </w:r>
      <w:proofErr w:type="spellStart"/>
      <w:r w:rsidRPr="00155C5E">
        <w:rPr>
          <w:rFonts w:asciiTheme="majorHAnsi" w:hAnsiTheme="majorHAnsi" w:cstheme="majorHAnsi"/>
        </w:rPr>
        <w:t>Kiniksa</w:t>
      </w:r>
      <w:proofErr w:type="spellEnd"/>
      <w:r w:rsidRPr="00155C5E">
        <w:rPr>
          <w:rFonts w:asciiTheme="majorHAnsi" w:hAnsiTheme="majorHAnsi" w:cstheme="majorHAnsi"/>
        </w:rPr>
        <w:t xml:space="preserve"> against applicable regulatory and standards requirements:</w:t>
      </w:r>
    </w:p>
    <w:p w14:paraId="11207CB4" w14:textId="77777777" w:rsidR="00AF6585" w:rsidRPr="00155C5E" w:rsidRDefault="00AF6585" w:rsidP="00155C5E">
      <w:pPr>
        <w:rPr>
          <w:rFonts w:asciiTheme="majorHAnsi" w:hAnsiTheme="majorHAnsi" w:cstheme="majorHAnsi"/>
        </w:rPr>
      </w:pPr>
    </w:p>
    <w:p w14:paraId="4BED6DEA" w14:textId="77777777" w:rsidR="00155C5E" w:rsidRPr="00155C5E" w:rsidRDefault="00155C5E" w:rsidP="00155C5E">
      <w:pPr>
        <w:numPr>
          <w:ilvl w:val="0"/>
          <w:numId w:val="19"/>
        </w:numPr>
        <w:rPr>
          <w:rFonts w:asciiTheme="majorHAnsi" w:hAnsiTheme="majorHAnsi" w:cstheme="majorHAnsi"/>
        </w:rPr>
      </w:pPr>
      <w:r w:rsidRPr="00155C5E">
        <w:rPr>
          <w:rFonts w:asciiTheme="majorHAnsi" w:hAnsiTheme="majorHAnsi" w:cstheme="majorHAnsi"/>
          <w:b/>
          <w:bCs/>
        </w:rPr>
        <w:t>21 CFR Part 820</w:t>
      </w:r>
      <w:r w:rsidRPr="00155C5E">
        <w:rPr>
          <w:rFonts w:asciiTheme="majorHAnsi" w:hAnsiTheme="majorHAnsi" w:cstheme="majorHAnsi"/>
        </w:rPr>
        <w:t xml:space="preserve"> (Quality System Regulation for medical devices)</w:t>
      </w:r>
    </w:p>
    <w:p w14:paraId="6E9E7D67" w14:textId="77777777" w:rsidR="00155C5E" w:rsidRPr="00155C5E" w:rsidRDefault="00155C5E" w:rsidP="00155C5E">
      <w:pPr>
        <w:numPr>
          <w:ilvl w:val="0"/>
          <w:numId w:val="19"/>
        </w:numPr>
        <w:rPr>
          <w:rFonts w:asciiTheme="majorHAnsi" w:hAnsiTheme="majorHAnsi" w:cstheme="majorHAnsi"/>
        </w:rPr>
      </w:pPr>
      <w:r w:rsidRPr="00155C5E">
        <w:rPr>
          <w:rFonts w:asciiTheme="majorHAnsi" w:hAnsiTheme="majorHAnsi" w:cstheme="majorHAnsi"/>
          <w:b/>
          <w:bCs/>
        </w:rPr>
        <w:t>ISO 13485:2016</w:t>
      </w:r>
      <w:r w:rsidRPr="00155C5E">
        <w:rPr>
          <w:rFonts w:asciiTheme="majorHAnsi" w:hAnsiTheme="majorHAnsi" w:cstheme="majorHAnsi"/>
        </w:rPr>
        <w:t xml:space="preserve"> (Medical Devices – Quality Management Systems)</w:t>
      </w:r>
    </w:p>
    <w:p w14:paraId="513DB8A0" w14:textId="77777777" w:rsidR="00155C5E" w:rsidRPr="00155C5E" w:rsidRDefault="00155C5E" w:rsidP="00155C5E">
      <w:pPr>
        <w:numPr>
          <w:ilvl w:val="0"/>
          <w:numId w:val="19"/>
        </w:numPr>
        <w:rPr>
          <w:rFonts w:asciiTheme="majorHAnsi" w:hAnsiTheme="majorHAnsi" w:cstheme="majorHAnsi"/>
        </w:rPr>
      </w:pPr>
      <w:r w:rsidRPr="00155C5E">
        <w:rPr>
          <w:rFonts w:asciiTheme="majorHAnsi" w:hAnsiTheme="majorHAnsi" w:cstheme="majorHAnsi"/>
          <w:b/>
          <w:bCs/>
        </w:rPr>
        <w:t>ISO 14971:2019</w:t>
      </w:r>
      <w:r w:rsidRPr="00155C5E">
        <w:rPr>
          <w:rFonts w:asciiTheme="majorHAnsi" w:hAnsiTheme="majorHAnsi" w:cstheme="majorHAnsi"/>
        </w:rPr>
        <w:t xml:space="preserve"> (Risk Management for Medical Devices)</w:t>
      </w:r>
    </w:p>
    <w:p w14:paraId="47E0B4A8" w14:textId="77777777" w:rsidR="00155C5E" w:rsidRPr="00155C5E" w:rsidRDefault="00155C5E" w:rsidP="00155C5E">
      <w:pPr>
        <w:numPr>
          <w:ilvl w:val="0"/>
          <w:numId w:val="19"/>
        </w:numPr>
        <w:rPr>
          <w:rFonts w:asciiTheme="majorHAnsi" w:hAnsiTheme="majorHAnsi" w:cstheme="majorHAnsi"/>
        </w:rPr>
      </w:pPr>
      <w:r w:rsidRPr="00155C5E">
        <w:rPr>
          <w:rFonts w:asciiTheme="majorHAnsi" w:hAnsiTheme="majorHAnsi" w:cstheme="majorHAnsi"/>
          <w:b/>
          <w:bCs/>
        </w:rPr>
        <w:t>21 CFR Part 4</w:t>
      </w:r>
      <w:r w:rsidRPr="00155C5E">
        <w:rPr>
          <w:rFonts w:asciiTheme="majorHAnsi" w:hAnsiTheme="majorHAnsi" w:cstheme="majorHAnsi"/>
        </w:rPr>
        <w:t xml:space="preserve"> (CGMP Requirements for Combination Products)</w:t>
      </w:r>
    </w:p>
    <w:p w14:paraId="390F2592" w14:textId="77777777" w:rsidR="00672634" w:rsidRDefault="00672634" w:rsidP="00155C5E">
      <w:pPr>
        <w:rPr>
          <w:rFonts w:asciiTheme="majorHAnsi" w:hAnsiTheme="majorHAnsi" w:cstheme="majorHAnsi"/>
        </w:rPr>
      </w:pPr>
    </w:p>
    <w:p w14:paraId="127F6567" w14:textId="62AA4468" w:rsidR="00155C5E" w:rsidRPr="00155C5E" w:rsidRDefault="00155C5E" w:rsidP="00155C5E">
      <w:pPr>
        <w:rPr>
          <w:rFonts w:asciiTheme="majorHAnsi" w:hAnsiTheme="majorHAnsi" w:cstheme="majorHAnsi"/>
        </w:rPr>
      </w:pPr>
      <w:r w:rsidRPr="00155C5E">
        <w:rPr>
          <w:rFonts w:asciiTheme="majorHAnsi" w:hAnsiTheme="majorHAnsi" w:cstheme="majorHAnsi"/>
        </w:rPr>
        <w:t>The evaluation covered the following procedures and associated work instructions:</w:t>
      </w:r>
    </w:p>
    <w:p w14:paraId="3C61E820" w14:textId="77777777" w:rsidR="00155C5E" w:rsidRPr="00656355" w:rsidRDefault="00155C5E" w:rsidP="00155C5E">
      <w:pPr>
        <w:numPr>
          <w:ilvl w:val="0"/>
          <w:numId w:val="20"/>
        </w:numPr>
        <w:rPr>
          <w:rFonts w:asciiTheme="majorHAnsi" w:hAnsiTheme="majorHAnsi" w:cstheme="majorHAnsi"/>
          <w:highlight w:val="yellow"/>
        </w:rPr>
      </w:pPr>
      <w:r w:rsidRPr="00656355">
        <w:rPr>
          <w:rFonts w:asciiTheme="majorHAnsi" w:hAnsiTheme="majorHAnsi" w:cstheme="majorHAnsi"/>
          <w:highlight w:val="yellow"/>
        </w:rPr>
        <w:t>SOP-0035 Quality Risk Management</w:t>
      </w:r>
    </w:p>
    <w:p w14:paraId="1312E6F3" w14:textId="77777777" w:rsidR="00155C5E" w:rsidRPr="00155C5E" w:rsidRDefault="00155C5E" w:rsidP="00155C5E">
      <w:pPr>
        <w:numPr>
          <w:ilvl w:val="0"/>
          <w:numId w:val="20"/>
        </w:numPr>
        <w:rPr>
          <w:rFonts w:asciiTheme="majorHAnsi" w:hAnsiTheme="majorHAnsi" w:cstheme="majorHAnsi"/>
        </w:rPr>
      </w:pPr>
      <w:r w:rsidRPr="00155C5E">
        <w:rPr>
          <w:rFonts w:asciiTheme="majorHAnsi" w:hAnsiTheme="majorHAnsi" w:cstheme="majorHAnsi"/>
        </w:rPr>
        <w:t>SOP-0036 Design Control</w:t>
      </w:r>
    </w:p>
    <w:p w14:paraId="5732AB27" w14:textId="77777777" w:rsidR="00155C5E" w:rsidRPr="00155C5E" w:rsidRDefault="00155C5E" w:rsidP="00155C5E">
      <w:pPr>
        <w:numPr>
          <w:ilvl w:val="0"/>
          <w:numId w:val="20"/>
        </w:numPr>
        <w:rPr>
          <w:rFonts w:asciiTheme="majorHAnsi" w:hAnsiTheme="majorHAnsi" w:cstheme="majorHAnsi"/>
        </w:rPr>
      </w:pPr>
      <w:r w:rsidRPr="00155C5E">
        <w:rPr>
          <w:rFonts w:asciiTheme="majorHAnsi" w:hAnsiTheme="majorHAnsi" w:cstheme="majorHAnsi"/>
        </w:rPr>
        <w:t>SOP-0028 Change Control</w:t>
      </w:r>
    </w:p>
    <w:p w14:paraId="4DDCDDD2" w14:textId="77777777" w:rsidR="00155C5E" w:rsidRPr="00155C5E" w:rsidRDefault="00155C5E" w:rsidP="00155C5E">
      <w:pPr>
        <w:numPr>
          <w:ilvl w:val="0"/>
          <w:numId w:val="20"/>
        </w:numPr>
        <w:rPr>
          <w:rFonts w:asciiTheme="majorHAnsi" w:hAnsiTheme="majorHAnsi" w:cstheme="majorHAnsi"/>
        </w:rPr>
      </w:pPr>
      <w:r w:rsidRPr="00155C5E">
        <w:rPr>
          <w:rFonts w:asciiTheme="majorHAnsi" w:hAnsiTheme="majorHAnsi" w:cstheme="majorHAnsi"/>
        </w:rPr>
        <w:t>SOP-0029 CAPA</w:t>
      </w:r>
    </w:p>
    <w:p w14:paraId="2D369549" w14:textId="77777777" w:rsidR="00155C5E" w:rsidRPr="00155C5E" w:rsidRDefault="00155C5E" w:rsidP="00155C5E">
      <w:pPr>
        <w:numPr>
          <w:ilvl w:val="0"/>
          <w:numId w:val="20"/>
        </w:numPr>
        <w:rPr>
          <w:rFonts w:asciiTheme="majorHAnsi" w:hAnsiTheme="majorHAnsi" w:cstheme="majorHAnsi"/>
        </w:rPr>
      </w:pPr>
      <w:r w:rsidRPr="00155C5E">
        <w:rPr>
          <w:rFonts w:asciiTheme="majorHAnsi" w:hAnsiTheme="majorHAnsi" w:cstheme="majorHAnsi"/>
        </w:rPr>
        <w:t>SOP-0019 Supplier Lifecycle Management</w:t>
      </w:r>
    </w:p>
    <w:p w14:paraId="2209DCC0" w14:textId="77777777" w:rsidR="00155C5E" w:rsidRPr="00155C5E" w:rsidRDefault="00155C5E" w:rsidP="00155C5E">
      <w:pPr>
        <w:numPr>
          <w:ilvl w:val="0"/>
          <w:numId w:val="20"/>
        </w:numPr>
        <w:rPr>
          <w:rFonts w:asciiTheme="majorHAnsi" w:hAnsiTheme="majorHAnsi" w:cstheme="majorHAnsi"/>
        </w:rPr>
      </w:pPr>
      <w:r w:rsidRPr="00155C5E">
        <w:rPr>
          <w:rFonts w:asciiTheme="majorHAnsi" w:hAnsiTheme="majorHAnsi" w:cstheme="majorHAnsi"/>
        </w:rPr>
        <w:t>SOP-0023 Quality Agreements Lifecycle Management</w:t>
      </w:r>
    </w:p>
    <w:p w14:paraId="6F66734F" w14:textId="77777777" w:rsidR="00155C5E" w:rsidRPr="00155C5E" w:rsidRDefault="00155C5E" w:rsidP="00155C5E">
      <w:pPr>
        <w:numPr>
          <w:ilvl w:val="0"/>
          <w:numId w:val="20"/>
        </w:numPr>
        <w:rPr>
          <w:rFonts w:asciiTheme="majorHAnsi" w:hAnsiTheme="majorHAnsi" w:cstheme="majorHAnsi"/>
        </w:rPr>
      </w:pPr>
      <w:r w:rsidRPr="00155C5E">
        <w:rPr>
          <w:rFonts w:asciiTheme="majorHAnsi" w:hAnsiTheme="majorHAnsi" w:cstheme="majorHAnsi"/>
        </w:rPr>
        <w:t>SOP-0033 Supplier Auditing and Qualification</w:t>
      </w:r>
    </w:p>
    <w:p w14:paraId="31CBA8DF" w14:textId="77777777" w:rsidR="00672634" w:rsidRDefault="00672634" w:rsidP="00155C5E">
      <w:pPr>
        <w:rPr>
          <w:rFonts w:asciiTheme="majorHAnsi" w:hAnsiTheme="majorHAnsi" w:cstheme="majorHAnsi"/>
        </w:rPr>
      </w:pPr>
    </w:p>
    <w:p w14:paraId="48629B6E" w14:textId="15211913" w:rsidR="00155C5E" w:rsidRPr="00155C5E" w:rsidRDefault="00155C5E" w:rsidP="00155C5E">
      <w:pPr>
        <w:rPr>
          <w:rFonts w:asciiTheme="majorHAnsi" w:hAnsiTheme="majorHAnsi" w:cstheme="majorHAnsi"/>
        </w:rPr>
      </w:pPr>
      <w:r w:rsidRPr="00155C5E">
        <w:rPr>
          <w:rFonts w:asciiTheme="majorHAnsi" w:hAnsiTheme="majorHAnsi" w:cstheme="majorHAnsi"/>
        </w:rPr>
        <w:t>Emphasis was placed on the system’s ability to maintain regulatory compliance across device and combination product domains, traceability to risk management outputs, supplier oversight rigor, and integration between quality subsystems (e.g., CAPA ↔ Risk, Change Control ↔ Design Control).</w:t>
      </w:r>
    </w:p>
    <w:p w14:paraId="12D269E9" w14:textId="77777777" w:rsidR="00AF6585" w:rsidRDefault="00AF6585" w:rsidP="004E2C59">
      <w:pPr>
        <w:rPr>
          <w:rFonts w:asciiTheme="majorHAnsi" w:eastAsia="Times New Roman" w:hAnsiTheme="majorHAnsi" w:cstheme="majorHAnsi"/>
        </w:rPr>
        <w:sectPr w:rsidR="00AF6585" w:rsidSect="0047697B">
          <w:headerReference w:type="default" r:id="rId10"/>
          <w:footerReference w:type="default" r:id="rId11"/>
          <w:pgSz w:w="12240" w:h="15840"/>
          <w:pgMar w:top="1440" w:right="1440" w:bottom="1440" w:left="1440" w:header="550" w:footer="720" w:gutter="0"/>
          <w:cols w:space="720"/>
          <w:docGrid w:linePitch="360"/>
        </w:sectPr>
      </w:pPr>
    </w:p>
    <w:p w14:paraId="0CBDAA6B" w14:textId="77777777" w:rsidR="00D801AA" w:rsidRDefault="00D801AA" w:rsidP="004E2C59">
      <w:pPr>
        <w:rPr>
          <w:rFonts w:asciiTheme="majorHAnsi" w:eastAsia="Times New Roman" w:hAnsiTheme="majorHAnsi" w:cstheme="majorHAnsi"/>
        </w:rPr>
      </w:pPr>
    </w:p>
    <w:p w14:paraId="09C94A19" w14:textId="601F0E2B" w:rsidR="004E2C59" w:rsidRPr="004E2C59" w:rsidRDefault="004E2C59" w:rsidP="004E788E">
      <w:pPr>
        <w:rPr>
          <w:rFonts w:asciiTheme="majorHAnsi" w:eastAsia="Times New Roman" w:hAnsiTheme="majorHAnsi" w:cstheme="majorHAnsi"/>
          <w:b/>
          <w:bCs/>
          <w:sz w:val="28"/>
          <w:szCs w:val="28"/>
        </w:rPr>
      </w:pPr>
      <w:r w:rsidRPr="00CD4EC0">
        <w:rPr>
          <w:rFonts w:asciiTheme="majorHAnsi" w:eastAsia="Times New Roman" w:hAnsiTheme="majorHAnsi" w:cstheme="majorHAnsi"/>
          <w:b/>
          <w:bCs/>
          <w:sz w:val="28"/>
          <w:szCs w:val="28"/>
          <w:highlight w:val="yellow"/>
        </w:rPr>
        <w:t>Document Reviewed: SOP-0035 Quality Risk Management</w:t>
      </w:r>
    </w:p>
    <w:p w14:paraId="0A2C650C" w14:textId="77777777" w:rsidR="004E2C59" w:rsidRPr="004E2C59" w:rsidRDefault="004E2C59" w:rsidP="00E03F35">
      <w:pPr>
        <w:spacing w:before="100" w:beforeAutospacing="1" w:after="100" w:afterAutospacing="1"/>
        <w:outlineLvl w:val="2"/>
        <w:rPr>
          <w:rFonts w:asciiTheme="majorHAnsi" w:eastAsia="Times New Roman" w:hAnsiTheme="majorHAnsi" w:cstheme="majorHAnsi"/>
          <w:b/>
          <w:bCs/>
        </w:rPr>
      </w:pPr>
      <w:r w:rsidRPr="004E2C59">
        <w:rPr>
          <w:rFonts w:asciiTheme="majorHAnsi" w:eastAsia="Times New Roman" w:hAnsiTheme="majorHAnsi" w:cstheme="majorHAnsi"/>
          <w:b/>
          <w:bCs/>
        </w:rPr>
        <w:t>Reference Standards:</w:t>
      </w:r>
    </w:p>
    <w:p w14:paraId="642D272B" w14:textId="77777777" w:rsidR="004E2C59" w:rsidRPr="004E2C59" w:rsidRDefault="004E2C59" w:rsidP="004E2C59">
      <w:pPr>
        <w:numPr>
          <w:ilvl w:val="0"/>
          <w:numId w:val="2"/>
        </w:numPr>
        <w:spacing w:before="100" w:beforeAutospacing="1" w:after="100" w:afterAutospacing="1"/>
        <w:rPr>
          <w:rFonts w:asciiTheme="majorHAnsi" w:eastAsia="Times New Roman" w:hAnsiTheme="majorHAnsi" w:cstheme="majorHAnsi"/>
        </w:rPr>
      </w:pPr>
      <w:r w:rsidRPr="004E2C59">
        <w:rPr>
          <w:rFonts w:asciiTheme="majorHAnsi" w:eastAsia="Times New Roman" w:hAnsiTheme="majorHAnsi" w:cstheme="majorHAnsi"/>
        </w:rPr>
        <w:t>ISO 14971:2019</w:t>
      </w:r>
    </w:p>
    <w:p w14:paraId="33448419" w14:textId="77777777" w:rsidR="004E2C59" w:rsidRPr="004E2C59" w:rsidRDefault="004E2C59" w:rsidP="004E2C59">
      <w:pPr>
        <w:numPr>
          <w:ilvl w:val="0"/>
          <w:numId w:val="2"/>
        </w:numPr>
        <w:spacing w:before="100" w:beforeAutospacing="1" w:after="100" w:afterAutospacing="1"/>
        <w:rPr>
          <w:rFonts w:asciiTheme="majorHAnsi" w:eastAsia="Times New Roman" w:hAnsiTheme="majorHAnsi" w:cstheme="majorHAnsi"/>
        </w:rPr>
      </w:pPr>
      <w:r w:rsidRPr="004E2C59">
        <w:rPr>
          <w:rFonts w:asciiTheme="majorHAnsi" w:eastAsia="Times New Roman" w:hAnsiTheme="majorHAnsi" w:cstheme="majorHAnsi"/>
        </w:rPr>
        <w:t>21 CFR Part 820</w:t>
      </w:r>
    </w:p>
    <w:p w14:paraId="668C8700" w14:textId="77777777" w:rsidR="004E2C59" w:rsidRPr="004E2C59" w:rsidRDefault="004E2C59" w:rsidP="004E2C59">
      <w:pPr>
        <w:numPr>
          <w:ilvl w:val="0"/>
          <w:numId w:val="2"/>
        </w:numPr>
        <w:spacing w:before="100" w:beforeAutospacing="1" w:after="100" w:afterAutospacing="1"/>
        <w:rPr>
          <w:rFonts w:asciiTheme="majorHAnsi" w:eastAsia="Times New Roman" w:hAnsiTheme="majorHAnsi" w:cstheme="majorHAnsi"/>
        </w:rPr>
      </w:pPr>
      <w:r w:rsidRPr="004E2C59">
        <w:rPr>
          <w:rFonts w:asciiTheme="majorHAnsi" w:eastAsia="Times New Roman" w:hAnsiTheme="majorHAnsi" w:cstheme="majorHAnsi"/>
        </w:rPr>
        <w:t>21 CFR Part 4 (Combination Products)</w:t>
      </w:r>
    </w:p>
    <w:p w14:paraId="3823F5A0" w14:textId="77777777" w:rsidR="004E2C59" w:rsidRPr="004E2C59" w:rsidRDefault="004E2C59" w:rsidP="0047697B">
      <w:pPr>
        <w:numPr>
          <w:ilvl w:val="0"/>
          <w:numId w:val="2"/>
        </w:numPr>
        <w:spacing w:before="100" w:beforeAutospacing="1" w:after="100" w:afterAutospacing="1"/>
        <w:rPr>
          <w:rFonts w:asciiTheme="majorHAnsi" w:eastAsia="Times New Roman" w:hAnsiTheme="majorHAnsi" w:cstheme="majorHAnsi"/>
        </w:rPr>
      </w:pPr>
      <w:r w:rsidRPr="004E2C59">
        <w:rPr>
          <w:rFonts w:asciiTheme="majorHAnsi" w:eastAsia="Times New Roman" w:hAnsiTheme="majorHAnsi" w:cstheme="majorHAnsi"/>
        </w:rPr>
        <w:t>ISO 13485:2016</w:t>
      </w:r>
    </w:p>
    <w:p w14:paraId="5692C0CF" w14:textId="77777777" w:rsidR="004E2C59" w:rsidRPr="004E2C59" w:rsidRDefault="00656355" w:rsidP="004E2C59">
      <w:pPr>
        <w:rPr>
          <w:rFonts w:asciiTheme="majorHAnsi" w:eastAsia="Times New Roman" w:hAnsiTheme="majorHAnsi" w:cstheme="majorHAnsi"/>
        </w:rPr>
      </w:pPr>
      <w:r>
        <w:rPr>
          <w:rFonts w:asciiTheme="majorHAnsi" w:eastAsia="Times New Roman" w:hAnsiTheme="majorHAnsi" w:cstheme="majorHAnsi"/>
        </w:rPr>
        <w:pict w14:anchorId="2341DFD7">
          <v:rect id="_x0000_i1026" style="width:0;height:1.5pt" o:hralign="center" o:hrstd="t" o:hr="t" fillcolor="#a0a0a0" stroked="f"/>
        </w:pict>
      </w:r>
    </w:p>
    <w:p w14:paraId="56FB9C31" w14:textId="77777777" w:rsidR="004E2C59" w:rsidRPr="004E2C59" w:rsidRDefault="004E2C59" w:rsidP="00DA3951">
      <w:pPr>
        <w:spacing w:before="100" w:beforeAutospacing="1" w:after="100" w:afterAutospacing="1"/>
        <w:outlineLvl w:val="1"/>
        <w:rPr>
          <w:rFonts w:asciiTheme="majorHAnsi" w:eastAsia="Times New Roman" w:hAnsiTheme="majorHAnsi" w:cstheme="majorHAnsi"/>
          <w:b/>
          <w:bCs/>
        </w:rPr>
      </w:pPr>
      <w:r w:rsidRPr="004E2C59">
        <w:rPr>
          <w:rFonts w:asciiTheme="majorHAnsi" w:eastAsia="Times New Roman" w:hAnsiTheme="majorHAnsi" w:cstheme="majorHAnsi"/>
          <w:b/>
          <w:bCs/>
        </w:rPr>
        <w:t>Findings Table – Gaps and Recommendations</w:t>
      </w:r>
    </w:p>
    <w:tbl>
      <w:tblPr>
        <w:tblStyle w:val="GridTable2-Accent3"/>
        <w:tblW w:w="12960" w:type="dxa"/>
        <w:tblLook w:val="04A0" w:firstRow="1" w:lastRow="0" w:firstColumn="1" w:lastColumn="0" w:noHBand="0" w:noVBand="1"/>
      </w:tblPr>
      <w:tblGrid>
        <w:gridCol w:w="2507"/>
        <w:gridCol w:w="1260"/>
        <w:gridCol w:w="3178"/>
        <w:gridCol w:w="3731"/>
        <w:gridCol w:w="2284"/>
      </w:tblGrid>
      <w:tr w:rsidR="00AF6585" w:rsidRPr="004E2C59" w14:paraId="6EBB2A5A" w14:textId="77777777" w:rsidTr="3D09F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hideMark/>
          </w:tcPr>
          <w:p w14:paraId="0DA3D939" w14:textId="77777777" w:rsidR="004E2C59" w:rsidRPr="004E2C59" w:rsidRDefault="004E2C59" w:rsidP="004E2C59">
            <w:pPr>
              <w:jc w:val="center"/>
              <w:rPr>
                <w:rFonts w:asciiTheme="majorHAnsi" w:eastAsia="Times New Roman" w:hAnsiTheme="majorHAnsi" w:cstheme="majorHAnsi"/>
              </w:rPr>
            </w:pPr>
            <w:r w:rsidRPr="004E2C59">
              <w:rPr>
                <w:rFonts w:asciiTheme="majorHAnsi" w:eastAsia="Times New Roman" w:hAnsiTheme="majorHAnsi" w:cstheme="majorHAnsi"/>
              </w:rPr>
              <w:t>Issue</w:t>
            </w:r>
          </w:p>
        </w:tc>
        <w:tc>
          <w:tcPr>
            <w:tcW w:w="1260" w:type="dxa"/>
            <w:hideMark/>
          </w:tcPr>
          <w:p w14:paraId="61D115E1" w14:textId="77777777" w:rsidR="004E2C59" w:rsidRPr="004E2C59" w:rsidRDefault="004E2C59" w:rsidP="004E2C59">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Severity</w:t>
            </w:r>
          </w:p>
        </w:tc>
        <w:tc>
          <w:tcPr>
            <w:tcW w:w="3178" w:type="dxa"/>
            <w:hideMark/>
          </w:tcPr>
          <w:p w14:paraId="2D413F17" w14:textId="77777777" w:rsidR="004E2C59" w:rsidRPr="004E2C59" w:rsidRDefault="004E2C59" w:rsidP="004E2C59">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Document Excerpt</w:t>
            </w:r>
          </w:p>
        </w:tc>
        <w:tc>
          <w:tcPr>
            <w:tcW w:w="3731" w:type="dxa"/>
            <w:hideMark/>
          </w:tcPr>
          <w:p w14:paraId="3B1E33D7" w14:textId="77777777" w:rsidR="004E2C59" w:rsidRPr="004E2C59" w:rsidRDefault="004E2C59" w:rsidP="004E2C59">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Recommended Revision</w:t>
            </w:r>
          </w:p>
        </w:tc>
        <w:tc>
          <w:tcPr>
            <w:tcW w:w="2284" w:type="dxa"/>
            <w:hideMark/>
          </w:tcPr>
          <w:p w14:paraId="10B79AD2" w14:textId="77777777" w:rsidR="004E2C59" w:rsidRPr="004E2C59" w:rsidRDefault="004E2C59" w:rsidP="004E2C59">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Reference</w:t>
            </w:r>
          </w:p>
        </w:tc>
      </w:tr>
      <w:tr w:rsidR="00AF6585" w:rsidRPr="004E2C59" w14:paraId="7DFBF912" w14:textId="77777777" w:rsidTr="3D09F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hideMark/>
          </w:tcPr>
          <w:p w14:paraId="1D54A427" w14:textId="77777777" w:rsidR="004E2C59" w:rsidRPr="004E2C59" w:rsidRDefault="004E2C59" w:rsidP="004E2C59">
            <w:pPr>
              <w:rPr>
                <w:rFonts w:asciiTheme="majorHAnsi" w:eastAsia="Times New Roman" w:hAnsiTheme="majorHAnsi" w:cstheme="majorHAnsi"/>
              </w:rPr>
            </w:pPr>
            <w:r w:rsidRPr="004E2C59">
              <w:rPr>
                <w:rFonts w:asciiTheme="majorHAnsi" w:eastAsia="Times New Roman" w:hAnsiTheme="majorHAnsi" w:cstheme="majorHAnsi"/>
              </w:rPr>
              <w:t>Risk Management Plan not explicitly required as a documented deliverable</w:t>
            </w:r>
          </w:p>
        </w:tc>
        <w:tc>
          <w:tcPr>
            <w:tcW w:w="1260" w:type="dxa"/>
            <w:hideMark/>
          </w:tcPr>
          <w:p w14:paraId="532A1D8B"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b/>
                <w:bCs/>
              </w:rPr>
              <w:t>Critical</w:t>
            </w:r>
          </w:p>
        </w:tc>
        <w:tc>
          <w:tcPr>
            <w:tcW w:w="3178" w:type="dxa"/>
            <w:hideMark/>
          </w:tcPr>
          <w:p w14:paraId="11BC523D"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“Risk management activities shall be planned…” but no requirement for a documented risk management plan with defined content</w:t>
            </w:r>
          </w:p>
        </w:tc>
        <w:tc>
          <w:tcPr>
            <w:tcW w:w="3731" w:type="dxa"/>
            <w:hideMark/>
          </w:tcPr>
          <w:p w14:paraId="00ABA17D"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Mandate a documented risk management plan including intended use, risk acceptability criteria, roles, responsibilities, methods for evaluation, and review criteria</w:t>
            </w:r>
          </w:p>
        </w:tc>
        <w:tc>
          <w:tcPr>
            <w:tcW w:w="2284" w:type="dxa"/>
            <w:hideMark/>
          </w:tcPr>
          <w:p w14:paraId="535EFC25"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ISO 14971:2019, Clause 4.4</w:t>
            </w:r>
          </w:p>
        </w:tc>
      </w:tr>
      <w:tr w:rsidR="004E2C59" w:rsidRPr="004E2C59" w14:paraId="1099D054" w14:textId="77777777" w:rsidTr="3D09FF86">
        <w:tc>
          <w:tcPr>
            <w:cnfStyle w:val="001000000000" w:firstRow="0" w:lastRow="0" w:firstColumn="1" w:lastColumn="0" w:oddVBand="0" w:evenVBand="0" w:oddHBand="0" w:evenHBand="0" w:firstRowFirstColumn="0" w:firstRowLastColumn="0" w:lastRowFirstColumn="0" w:lastRowLastColumn="0"/>
            <w:tcW w:w="2507" w:type="dxa"/>
            <w:hideMark/>
          </w:tcPr>
          <w:p w14:paraId="468F26D8" w14:textId="77777777" w:rsidR="004E2C59" w:rsidRPr="004E2C59" w:rsidRDefault="004E2C59" w:rsidP="004E2C59">
            <w:pPr>
              <w:rPr>
                <w:rFonts w:asciiTheme="majorHAnsi" w:eastAsia="Times New Roman" w:hAnsiTheme="majorHAnsi" w:cstheme="majorHAnsi"/>
              </w:rPr>
            </w:pPr>
            <w:r w:rsidRPr="004E2C59">
              <w:rPr>
                <w:rFonts w:asciiTheme="majorHAnsi" w:eastAsia="Times New Roman" w:hAnsiTheme="majorHAnsi" w:cstheme="majorHAnsi"/>
              </w:rPr>
              <w:t>Overall residual risk evaluation not clearly described</w:t>
            </w:r>
          </w:p>
        </w:tc>
        <w:tc>
          <w:tcPr>
            <w:tcW w:w="1260" w:type="dxa"/>
            <w:hideMark/>
          </w:tcPr>
          <w:p w14:paraId="7CD1F752"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b/>
                <w:bCs/>
              </w:rPr>
              <w:t>Critical</w:t>
            </w:r>
          </w:p>
        </w:tc>
        <w:tc>
          <w:tcPr>
            <w:tcW w:w="3178" w:type="dxa"/>
            <w:hideMark/>
          </w:tcPr>
          <w:p w14:paraId="1E09F03D"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No specific mention of evaluating overall residual risk or performing acceptability assessment</w:t>
            </w:r>
          </w:p>
        </w:tc>
        <w:tc>
          <w:tcPr>
            <w:tcW w:w="3731" w:type="dxa"/>
            <w:hideMark/>
          </w:tcPr>
          <w:p w14:paraId="7E5219EA"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Add explicit steps for evaluating overall residual risk as per Clause 8, and defining acceptability criteria in the risk management plan</w:t>
            </w:r>
          </w:p>
        </w:tc>
        <w:tc>
          <w:tcPr>
            <w:tcW w:w="2284" w:type="dxa"/>
            <w:hideMark/>
          </w:tcPr>
          <w:p w14:paraId="2EB92A55"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ISO 14971:2019, Clause 8</w:t>
            </w:r>
          </w:p>
        </w:tc>
      </w:tr>
      <w:tr w:rsidR="00AF6585" w:rsidRPr="004E2C59" w14:paraId="1B055B03" w14:textId="77777777" w:rsidTr="3D09F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hideMark/>
          </w:tcPr>
          <w:p w14:paraId="77D9EAFF" w14:textId="77777777" w:rsidR="004E2C59" w:rsidRPr="004E2C59" w:rsidRDefault="004E2C59" w:rsidP="004E2C59">
            <w:pPr>
              <w:rPr>
                <w:rFonts w:asciiTheme="majorHAnsi" w:eastAsia="Times New Roman" w:hAnsiTheme="majorHAnsi" w:cstheme="majorHAnsi"/>
              </w:rPr>
            </w:pPr>
            <w:r w:rsidRPr="004E2C59">
              <w:rPr>
                <w:rFonts w:asciiTheme="majorHAnsi" w:eastAsia="Times New Roman" w:hAnsiTheme="majorHAnsi" w:cstheme="majorHAnsi"/>
              </w:rPr>
              <w:t>Benefit-risk analysis process inadequately described</w:t>
            </w:r>
          </w:p>
        </w:tc>
        <w:tc>
          <w:tcPr>
            <w:tcW w:w="1260" w:type="dxa"/>
            <w:hideMark/>
          </w:tcPr>
          <w:p w14:paraId="7E193996"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b/>
                <w:bCs/>
              </w:rPr>
              <w:t>Critical</w:t>
            </w:r>
          </w:p>
        </w:tc>
        <w:tc>
          <w:tcPr>
            <w:tcW w:w="3178" w:type="dxa"/>
            <w:hideMark/>
          </w:tcPr>
          <w:p w14:paraId="28C32090"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 xml:space="preserve">“Creates risk benefit analysis in accordance with this procedure” – vague, no </w:t>
            </w:r>
            <w:r w:rsidRPr="004E2C59">
              <w:rPr>
                <w:rFonts w:asciiTheme="majorHAnsi" w:eastAsia="Times New Roman" w:hAnsiTheme="majorHAnsi" w:cstheme="majorHAnsi"/>
              </w:rPr>
              <w:lastRenderedPageBreak/>
              <w:t>defined methods or required documentation</w:t>
            </w:r>
          </w:p>
        </w:tc>
        <w:tc>
          <w:tcPr>
            <w:tcW w:w="3731" w:type="dxa"/>
            <w:hideMark/>
          </w:tcPr>
          <w:p w14:paraId="60C4EB88"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lastRenderedPageBreak/>
              <w:t xml:space="preserve">Require a documented benefit-risk analysis aligned with Clause 7.4; </w:t>
            </w:r>
            <w:r w:rsidRPr="004E2C59">
              <w:rPr>
                <w:rFonts w:asciiTheme="majorHAnsi" w:eastAsia="Times New Roman" w:hAnsiTheme="majorHAnsi" w:cstheme="majorHAnsi"/>
              </w:rPr>
              <w:lastRenderedPageBreak/>
              <w:t>define when it is required and how to perform it</w:t>
            </w:r>
          </w:p>
        </w:tc>
        <w:tc>
          <w:tcPr>
            <w:tcW w:w="2284" w:type="dxa"/>
            <w:hideMark/>
          </w:tcPr>
          <w:p w14:paraId="7D8CBB96"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lastRenderedPageBreak/>
              <w:t>ISO 14971:2019, Clause 7.4</w:t>
            </w:r>
          </w:p>
        </w:tc>
      </w:tr>
      <w:tr w:rsidR="004E2C59" w:rsidRPr="004E2C59" w14:paraId="71816905" w14:textId="77777777" w:rsidTr="3D09FF86">
        <w:tc>
          <w:tcPr>
            <w:cnfStyle w:val="001000000000" w:firstRow="0" w:lastRow="0" w:firstColumn="1" w:lastColumn="0" w:oddVBand="0" w:evenVBand="0" w:oddHBand="0" w:evenHBand="0" w:firstRowFirstColumn="0" w:firstRowLastColumn="0" w:lastRowFirstColumn="0" w:lastRowLastColumn="0"/>
            <w:tcW w:w="2507" w:type="dxa"/>
            <w:hideMark/>
          </w:tcPr>
          <w:p w14:paraId="37813CC2" w14:textId="77777777" w:rsidR="004E2C59" w:rsidRPr="004E2C59" w:rsidRDefault="004E2C59" w:rsidP="004E2C59">
            <w:pPr>
              <w:rPr>
                <w:rFonts w:asciiTheme="majorHAnsi" w:eastAsia="Times New Roman" w:hAnsiTheme="majorHAnsi" w:cstheme="majorHAnsi"/>
              </w:rPr>
            </w:pPr>
            <w:r w:rsidRPr="004E2C59">
              <w:rPr>
                <w:rFonts w:asciiTheme="majorHAnsi" w:eastAsia="Times New Roman" w:hAnsiTheme="majorHAnsi" w:cstheme="majorHAnsi"/>
              </w:rPr>
              <w:t>No requirement to analyze risks introduced by risk control measures</w:t>
            </w:r>
          </w:p>
        </w:tc>
        <w:tc>
          <w:tcPr>
            <w:tcW w:w="1260" w:type="dxa"/>
            <w:hideMark/>
          </w:tcPr>
          <w:p w14:paraId="7404C0EE"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b/>
                <w:bCs/>
              </w:rPr>
              <w:t>Critical</w:t>
            </w:r>
          </w:p>
        </w:tc>
        <w:tc>
          <w:tcPr>
            <w:tcW w:w="3178" w:type="dxa"/>
            <w:hideMark/>
          </w:tcPr>
          <w:p w14:paraId="756A5E39"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No mention of secondary risks introduced by controls</w:t>
            </w:r>
          </w:p>
        </w:tc>
        <w:tc>
          <w:tcPr>
            <w:tcW w:w="3731" w:type="dxa"/>
            <w:hideMark/>
          </w:tcPr>
          <w:p w14:paraId="0CADA2FA"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Add requirement to identify and assess risks arising from risk control implementation</w:t>
            </w:r>
          </w:p>
        </w:tc>
        <w:tc>
          <w:tcPr>
            <w:tcW w:w="2284" w:type="dxa"/>
            <w:hideMark/>
          </w:tcPr>
          <w:p w14:paraId="7C520471"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ISO 14971:2019, Clause 7.5</w:t>
            </w:r>
          </w:p>
        </w:tc>
      </w:tr>
      <w:tr w:rsidR="00AF6585" w:rsidRPr="004E2C59" w14:paraId="274DE082" w14:textId="77777777" w:rsidTr="3D09F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hideMark/>
          </w:tcPr>
          <w:p w14:paraId="0CA6DC55" w14:textId="77777777" w:rsidR="004E2C59" w:rsidRPr="004E2C59" w:rsidRDefault="004E2C59" w:rsidP="004E2C59">
            <w:pPr>
              <w:rPr>
                <w:rFonts w:asciiTheme="majorHAnsi" w:eastAsia="Times New Roman" w:hAnsiTheme="majorHAnsi" w:cstheme="majorHAnsi"/>
              </w:rPr>
            </w:pPr>
            <w:r w:rsidRPr="004E2C59">
              <w:rPr>
                <w:rFonts w:asciiTheme="majorHAnsi" w:eastAsia="Times New Roman" w:hAnsiTheme="majorHAnsi" w:cstheme="majorHAnsi"/>
              </w:rPr>
              <w:t>No defined method for ensuring completeness of risk control measures</w:t>
            </w:r>
          </w:p>
        </w:tc>
        <w:tc>
          <w:tcPr>
            <w:tcW w:w="1260" w:type="dxa"/>
            <w:hideMark/>
          </w:tcPr>
          <w:p w14:paraId="785F5190"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b/>
                <w:bCs/>
              </w:rPr>
              <w:t>Moderate</w:t>
            </w:r>
          </w:p>
        </w:tc>
        <w:tc>
          <w:tcPr>
            <w:tcW w:w="3178" w:type="dxa"/>
            <w:hideMark/>
          </w:tcPr>
          <w:p w14:paraId="7BC8F35A"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Risk control steps are present but lack verification of completeness</w:t>
            </w:r>
          </w:p>
        </w:tc>
        <w:tc>
          <w:tcPr>
            <w:tcW w:w="3731" w:type="dxa"/>
            <w:hideMark/>
          </w:tcPr>
          <w:p w14:paraId="672CAF37"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Require completeness verification before closing risk control actions</w:t>
            </w:r>
          </w:p>
        </w:tc>
        <w:tc>
          <w:tcPr>
            <w:tcW w:w="2284" w:type="dxa"/>
            <w:hideMark/>
          </w:tcPr>
          <w:p w14:paraId="384AC3FF"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ISO 14971:2019, Clause 7.6</w:t>
            </w:r>
          </w:p>
        </w:tc>
      </w:tr>
      <w:tr w:rsidR="004E2C59" w:rsidRPr="004E2C59" w14:paraId="1259F4CC" w14:textId="77777777" w:rsidTr="3D09FF86">
        <w:tc>
          <w:tcPr>
            <w:cnfStyle w:val="001000000000" w:firstRow="0" w:lastRow="0" w:firstColumn="1" w:lastColumn="0" w:oddVBand="0" w:evenVBand="0" w:oddHBand="0" w:evenHBand="0" w:firstRowFirstColumn="0" w:firstRowLastColumn="0" w:lastRowFirstColumn="0" w:lastRowLastColumn="0"/>
            <w:tcW w:w="2507" w:type="dxa"/>
            <w:hideMark/>
          </w:tcPr>
          <w:p w14:paraId="71AAB104" w14:textId="77777777" w:rsidR="004E2C59" w:rsidRPr="004E2C59" w:rsidRDefault="004E2C59" w:rsidP="004E2C59">
            <w:pPr>
              <w:rPr>
                <w:rFonts w:asciiTheme="majorHAnsi" w:eastAsia="Times New Roman" w:hAnsiTheme="majorHAnsi" w:cstheme="majorHAnsi"/>
              </w:rPr>
            </w:pPr>
            <w:r w:rsidRPr="004E2C59">
              <w:rPr>
                <w:rFonts w:asciiTheme="majorHAnsi" w:eastAsia="Times New Roman" w:hAnsiTheme="majorHAnsi" w:cstheme="majorHAnsi"/>
              </w:rPr>
              <w:t>Lack of detailed requirements for the contents of a Risk Management File (RMF)</w:t>
            </w:r>
          </w:p>
        </w:tc>
        <w:tc>
          <w:tcPr>
            <w:tcW w:w="1260" w:type="dxa"/>
            <w:hideMark/>
          </w:tcPr>
          <w:p w14:paraId="3C55E5D5"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b/>
                <w:bCs/>
              </w:rPr>
              <w:t>Moderate</w:t>
            </w:r>
          </w:p>
        </w:tc>
        <w:tc>
          <w:tcPr>
            <w:tcW w:w="3178" w:type="dxa"/>
            <w:hideMark/>
          </w:tcPr>
          <w:p w14:paraId="465EEE20"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RMF is mentioned but not clearly defined or scoped</w:t>
            </w:r>
          </w:p>
        </w:tc>
        <w:tc>
          <w:tcPr>
            <w:tcW w:w="3731" w:type="dxa"/>
            <w:hideMark/>
          </w:tcPr>
          <w:p w14:paraId="42E221FC"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Require the RMF to include plan, analyses, evaluations, controls, residual risk decisions, and review records</w:t>
            </w:r>
          </w:p>
        </w:tc>
        <w:tc>
          <w:tcPr>
            <w:tcW w:w="2284" w:type="dxa"/>
            <w:hideMark/>
          </w:tcPr>
          <w:p w14:paraId="783E8AA6"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ISO 14971:2019, Clause 4.5</w:t>
            </w:r>
          </w:p>
        </w:tc>
      </w:tr>
      <w:tr w:rsidR="00AF6585" w:rsidRPr="004E2C59" w14:paraId="025B8AAE" w14:textId="77777777" w:rsidTr="3D09F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hideMark/>
          </w:tcPr>
          <w:p w14:paraId="2010FE91" w14:textId="77777777" w:rsidR="004E2C59" w:rsidRPr="004E2C59" w:rsidRDefault="004E2C59" w:rsidP="004E2C59">
            <w:pPr>
              <w:rPr>
                <w:rFonts w:asciiTheme="majorHAnsi" w:eastAsia="Times New Roman" w:hAnsiTheme="majorHAnsi" w:cstheme="majorHAnsi"/>
              </w:rPr>
            </w:pPr>
            <w:r w:rsidRPr="004E2C59">
              <w:rPr>
                <w:rFonts w:asciiTheme="majorHAnsi" w:eastAsia="Times New Roman" w:hAnsiTheme="majorHAnsi" w:cstheme="majorHAnsi"/>
              </w:rPr>
              <w:t>Post-market risk activities not fully aligned with ISO 14971:2019 Clause 10</w:t>
            </w:r>
          </w:p>
        </w:tc>
        <w:tc>
          <w:tcPr>
            <w:tcW w:w="1260" w:type="dxa"/>
            <w:hideMark/>
          </w:tcPr>
          <w:p w14:paraId="4702CCF4"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b/>
                <w:bCs/>
              </w:rPr>
              <w:t>Critical</w:t>
            </w:r>
          </w:p>
        </w:tc>
        <w:tc>
          <w:tcPr>
            <w:tcW w:w="3178" w:type="dxa"/>
            <w:hideMark/>
          </w:tcPr>
          <w:p w14:paraId="517D8308"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Mentions periodic reviews, but lacks specifics on data sources, triggers for action, or integration with PMS</w:t>
            </w:r>
          </w:p>
        </w:tc>
        <w:tc>
          <w:tcPr>
            <w:tcW w:w="3731" w:type="dxa"/>
            <w:hideMark/>
          </w:tcPr>
          <w:p w14:paraId="5718B44E"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Expand to include data sources (complaints, adverse events), frequency, triggers for update, and link to CAPA</w:t>
            </w:r>
          </w:p>
        </w:tc>
        <w:tc>
          <w:tcPr>
            <w:tcW w:w="2284" w:type="dxa"/>
            <w:hideMark/>
          </w:tcPr>
          <w:p w14:paraId="69C9EB7A"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ISO 14971:2019, Clause 10.1–10.4</w:t>
            </w:r>
          </w:p>
        </w:tc>
      </w:tr>
      <w:tr w:rsidR="004E2C59" w:rsidRPr="004E2C59" w14:paraId="472E4A64" w14:textId="77777777" w:rsidTr="3D09FF86">
        <w:tc>
          <w:tcPr>
            <w:cnfStyle w:val="001000000000" w:firstRow="0" w:lastRow="0" w:firstColumn="1" w:lastColumn="0" w:oddVBand="0" w:evenVBand="0" w:oddHBand="0" w:evenHBand="0" w:firstRowFirstColumn="0" w:firstRowLastColumn="0" w:lastRowFirstColumn="0" w:lastRowLastColumn="0"/>
            <w:tcW w:w="2507" w:type="dxa"/>
            <w:hideMark/>
          </w:tcPr>
          <w:p w14:paraId="0CE3E325" w14:textId="77777777" w:rsidR="004E2C59" w:rsidRPr="004E2C59" w:rsidRDefault="004E2C59" w:rsidP="004E2C59">
            <w:pPr>
              <w:rPr>
                <w:rFonts w:asciiTheme="majorHAnsi" w:eastAsia="Times New Roman" w:hAnsiTheme="majorHAnsi" w:cstheme="majorHAnsi"/>
              </w:rPr>
            </w:pPr>
            <w:r w:rsidRPr="004E2C59">
              <w:rPr>
                <w:rFonts w:asciiTheme="majorHAnsi" w:eastAsia="Times New Roman" w:hAnsiTheme="majorHAnsi" w:cstheme="majorHAnsi"/>
              </w:rPr>
              <w:t>No process for evaluating risk from reasonably foreseeable misuse</w:t>
            </w:r>
          </w:p>
        </w:tc>
        <w:tc>
          <w:tcPr>
            <w:tcW w:w="1260" w:type="dxa"/>
            <w:hideMark/>
          </w:tcPr>
          <w:p w14:paraId="1D8DC32F"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b/>
                <w:bCs/>
              </w:rPr>
              <w:t>Moderate</w:t>
            </w:r>
          </w:p>
        </w:tc>
        <w:tc>
          <w:tcPr>
            <w:tcW w:w="3178" w:type="dxa"/>
            <w:hideMark/>
          </w:tcPr>
          <w:p w14:paraId="6285AA25"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Foreseeable misuse not explicitly addressed</w:t>
            </w:r>
          </w:p>
        </w:tc>
        <w:tc>
          <w:tcPr>
            <w:tcW w:w="3731" w:type="dxa"/>
            <w:hideMark/>
          </w:tcPr>
          <w:p w14:paraId="3CDD345B"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Add evaluation for misuse scenarios per Clause 5.2</w:t>
            </w:r>
          </w:p>
        </w:tc>
        <w:tc>
          <w:tcPr>
            <w:tcW w:w="2284" w:type="dxa"/>
            <w:hideMark/>
          </w:tcPr>
          <w:p w14:paraId="0D2E603A"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ISO 14971:2019, Clause 5.2</w:t>
            </w:r>
          </w:p>
        </w:tc>
      </w:tr>
      <w:tr w:rsidR="00AF6585" w:rsidRPr="004E2C59" w14:paraId="641AE5D5" w14:textId="77777777" w:rsidTr="3D09F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hideMark/>
          </w:tcPr>
          <w:p w14:paraId="55E8B671" w14:textId="77777777" w:rsidR="004E2C59" w:rsidRPr="004E2C59" w:rsidRDefault="004E2C59" w:rsidP="004E2C59">
            <w:pPr>
              <w:rPr>
                <w:rFonts w:asciiTheme="majorHAnsi" w:eastAsia="Times New Roman" w:hAnsiTheme="majorHAnsi" w:cstheme="majorHAnsi"/>
              </w:rPr>
            </w:pPr>
            <w:r w:rsidRPr="004E2C59">
              <w:rPr>
                <w:rFonts w:asciiTheme="majorHAnsi" w:eastAsia="Times New Roman" w:hAnsiTheme="majorHAnsi" w:cstheme="majorHAnsi"/>
              </w:rPr>
              <w:t>Risk acceptance criteria not defined or documented</w:t>
            </w:r>
          </w:p>
        </w:tc>
        <w:tc>
          <w:tcPr>
            <w:tcW w:w="1260" w:type="dxa"/>
            <w:hideMark/>
          </w:tcPr>
          <w:p w14:paraId="5BABFE44"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b/>
                <w:bCs/>
              </w:rPr>
              <w:t>Moderate</w:t>
            </w:r>
          </w:p>
        </w:tc>
        <w:tc>
          <w:tcPr>
            <w:tcW w:w="3178" w:type="dxa"/>
            <w:hideMark/>
          </w:tcPr>
          <w:p w14:paraId="70466226"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“Top management shall define a policy…” – but no example or enforcement</w:t>
            </w:r>
          </w:p>
        </w:tc>
        <w:tc>
          <w:tcPr>
            <w:tcW w:w="3731" w:type="dxa"/>
            <w:hideMark/>
          </w:tcPr>
          <w:p w14:paraId="573037C6"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Require documented, risk-based acceptability criteria tied to risk levels</w:t>
            </w:r>
          </w:p>
        </w:tc>
        <w:tc>
          <w:tcPr>
            <w:tcW w:w="2284" w:type="dxa"/>
            <w:hideMark/>
          </w:tcPr>
          <w:p w14:paraId="6FD89D64"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ISO 14971:2019, Clause 6</w:t>
            </w:r>
          </w:p>
        </w:tc>
      </w:tr>
      <w:tr w:rsidR="004E2C59" w:rsidRPr="004E2C59" w14:paraId="3C329BA3" w14:textId="77777777" w:rsidTr="3D09FF86">
        <w:tc>
          <w:tcPr>
            <w:cnfStyle w:val="001000000000" w:firstRow="0" w:lastRow="0" w:firstColumn="1" w:lastColumn="0" w:oddVBand="0" w:evenVBand="0" w:oddHBand="0" w:evenHBand="0" w:firstRowFirstColumn="0" w:firstRowLastColumn="0" w:lastRowFirstColumn="0" w:lastRowLastColumn="0"/>
            <w:tcW w:w="2507" w:type="dxa"/>
            <w:hideMark/>
          </w:tcPr>
          <w:p w14:paraId="76F01AC8" w14:textId="77777777" w:rsidR="004E2C59" w:rsidRPr="004E2C59" w:rsidRDefault="004E2C59" w:rsidP="004E2C59">
            <w:pPr>
              <w:rPr>
                <w:rFonts w:asciiTheme="majorHAnsi" w:eastAsia="Times New Roman" w:hAnsiTheme="majorHAnsi" w:cstheme="majorHAnsi"/>
              </w:rPr>
            </w:pPr>
            <w:r w:rsidRPr="004E2C59">
              <w:rPr>
                <w:rFonts w:asciiTheme="majorHAnsi" w:eastAsia="Times New Roman" w:hAnsiTheme="majorHAnsi" w:cstheme="majorHAnsi"/>
              </w:rPr>
              <w:t>Risk control option analysis not structured</w:t>
            </w:r>
          </w:p>
        </w:tc>
        <w:tc>
          <w:tcPr>
            <w:tcW w:w="1260" w:type="dxa"/>
            <w:hideMark/>
          </w:tcPr>
          <w:p w14:paraId="744054E7"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b/>
                <w:bCs/>
              </w:rPr>
              <w:t>Minor</w:t>
            </w:r>
          </w:p>
        </w:tc>
        <w:tc>
          <w:tcPr>
            <w:tcW w:w="3178" w:type="dxa"/>
            <w:hideMark/>
          </w:tcPr>
          <w:p w14:paraId="630611A2"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 xml:space="preserve">No defined approach for prioritizing inherent safety, </w:t>
            </w:r>
            <w:r w:rsidRPr="004E2C59">
              <w:rPr>
                <w:rFonts w:asciiTheme="majorHAnsi" w:eastAsia="Times New Roman" w:hAnsiTheme="majorHAnsi" w:cstheme="majorHAnsi"/>
              </w:rPr>
              <w:lastRenderedPageBreak/>
              <w:t>protective measures, or information for safety</w:t>
            </w:r>
          </w:p>
        </w:tc>
        <w:tc>
          <w:tcPr>
            <w:tcW w:w="3731" w:type="dxa"/>
            <w:hideMark/>
          </w:tcPr>
          <w:p w14:paraId="7ADF6D75"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lastRenderedPageBreak/>
              <w:t>Add hierarchy per Clause 7.1</w:t>
            </w:r>
          </w:p>
        </w:tc>
        <w:tc>
          <w:tcPr>
            <w:tcW w:w="2284" w:type="dxa"/>
            <w:hideMark/>
          </w:tcPr>
          <w:p w14:paraId="68771A23"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ISO 14971:2019, Clause 7.1</w:t>
            </w:r>
          </w:p>
        </w:tc>
      </w:tr>
      <w:tr w:rsidR="00AF6585" w:rsidRPr="004E2C59" w14:paraId="62E3639B" w14:textId="77777777" w:rsidTr="3D09F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hideMark/>
          </w:tcPr>
          <w:p w14:paraId="7C899DC5" w14:textId="77777777" w:rsidR="004E2C59" w:rsidRPr="004E2C59" w:rsidRDefault="004E2C59" w:rsidP="004E2C59">
            <w:pPr>
              <w:rPr>
                <w:rFonts w:asciiTheme="majorHAnsi" w:eastAsia="Times New Roman" w:hAnsiTheme="majorHAnsi" w:cstheme="majorHAnsi"/>
              </w:rPr>
            </w:pPr>
            <w:r w:rsidRPr="004E2C59">
              <w:rPr>
                <w:rFonts w:asciiTheme="majorHAnsi" w:eastAsia="Times New Roman" w:hAnsiTheme="majorHAnsi" w:cstheme="majorHAnsi"/>
              </w:rPr>
              <w:t>No clear link between combination product drug constituent and its risk controls</w:t>
            </w:r>
          </w:p>
        </w:tc>
        <w:tc>
          <w:tcPr>
            <w:tcW w:w="1260" w:type="dxa"/>
            <w:hideMark/>
          </w:tcPr>
          <w:p w14:paraId="46767B70"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b/>
                <w:bCs/>
              </w:rPr>
              <w:t>Moderate</w:t>
            </w:r>
          </w:p>
        </w:tc>
        <w:tc>
          <w:tcPr>
            <w:tcW w:w="3178" w:type="dxa"/>
            <w:hideMark/>
          </w:tcPr>
          <w:p w14:paraId="4A6A4EAE"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Drug constituent out of scope; no bridging mention of how it is handled for combination product</w:t>
            </w:r>
          </w:p>
        </w:tc>
        <w:tc>
          <w:tcPr>
            <w:tcW w:w="3731" w:type="dxa"/>
            <w:hideMark/>
          </w:tcPr>
          <w:p w14:paraId="6B593EA0"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Add statement on how device-side risk management interfaces with drug product risk analysis (e.g., per FDA’s 2019 draft guidance)</w:t>
            </w:r>
          </w:p>
        </w:tc>
        <w:tc>
          <w:tcPr>
            <w:tcW w:w="2284" w:type="dxa"/>
            <w:hideMark/>
          </w:tcPr>
          <w:p w14:paraId="59C48306"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21 CFR Part 4; FDA Combination Product Guidance (risk-based framework)</w:t>
            </w:r>
          </w:p>
        </w:tc>
      </w:tr>
      <w:tr w:rsidR="004E2C59" w:rsidRPr="004E2C59" w14:paraId="01F4918F" w14:textId="77777777" w:rsidTr="3D09FF86">
        <w:tc>
          <w:tcPr>
            <w:cnfStyle w:val="001000000000" w:firstRow="0" w:lastRow="0" w:firstColumn="1" w:lastColumn="0" w:oddVBand="0" w:evenVBand="0" w:oddHBand="0" w:evenHBand="0" w:firstRowFirstColumn="0" w:firstRowLastColumn="0" w:lastRowFirstColumn="0" w:lastRowLastColumn="0"/>
            <w:tcW w:w="2507" w:type="dxa"/>
            <w:hideMark/>
          </w:tcPr>
          <w:p w14:paraId="487116C3" w14:textId="77777777" w:rsidR="004E2C59" w:rsidRPr="004E2C59" w:rsidRDefault="004E2C59" w:rsidP="004E2C59">
            <w:pPr>
              <w:rPr>
                <w:rFonts w:asciiTheme="majorHAnsi" w:eastAsia="Times New Roman" w:hAnsiTheme="majorHAnsi" w:cstheme="majorHAnsi"/>
              </w:rPr>
            </w:pPr>
            <w:r w:rsidRPr="004E2C59">
              <w:rPr>
                <w:rFonts w:asciiTheme="majorHAnsi" w:eastAsia="Times New Roman" w:hAnsiTheme="majorHAnsi" w:cstheme="majorHAnsi"/>
              </w:rPr>
              <w:t>Competency requirements are described but not linked to risk management training</w:t>
            </w:r>
          </w:p>
        </w:tc>
        <w:tc>
          <w:tcPr>
            <w:tcW w:w="1260" w:type="dxa"/>
            <w:hideMark/>
          </w:tcPr>
          <w:p w14:paraId="35830E6F"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b/>
                <w:bCs/>
              </w:rPr>
              <w:t>Minor</w:t>
            </w:r>
          </w:p>
        </w:tc>
        <w:tc>
          <w:tcPr>
            <w:tcW w:w="3178" w:type="dxa"/>
            <w:hideMark/>
          </w:tcPr>
          <w:p w14:paraId="7FCD78C2"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Mentions training but not specific to risk management methods (e.g., FMEA, FTA)</w:t>
            </w:r>
          </w:p>
        </w:tc>
        <w:tc>
          <w:tcPr>
            <w:tcW w:w="3731" w:type="dxa"/>
            <w:hideMark/>
          </w:tcPr>
          <w:p w14:paraId="089EB2C6"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Specify required training and documentation of competency for personnel conducting risk activities</w:t>
            </w:r>
          </w:p>
        </w:tc>
        <w:tc>
          <w:tcPr>
            <w:tcW w:w="2284" w:type="dxa"/>
            <w:hideMark/>
          </w:tcPr>
          <w:p w14:paraId="4B3D18FD"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ISO 14971:2019, Clause 4.3</w:t>
            </w:r>
          </w:p>
        </w:tc>
      </w:tr>
    </w:tbl>
    <w:p w14:paraId="1E80C0CA" w14:textId="77777777" w:rsidR="004E2C59" w:rsidRPr="004E2C59" w:rsidRDefault="00656355" w:rsidP="004E2C59">
      <w:pPr>
        <w:rPr>
          <w:rFonts w:asciiTheme="majorHAnsi" w:eastAsia="Times New Roman" w:hAnsiTheme="majorHAnsi" w:cstheme="majorHAnsi"/>
        </w:rPr>
      </w:pPr>
      <w:r>
        <w:rPr>
          <w:rFonts w:asciiTheme="majorHAnsi" w:eastAsia="Times New Roman" w:hAnsiTheme="majorHAnsi" w:cstheme="majorHAnsi"/>
        </w:rPr>
        <w:pict w14:anchorId="313500A4">
          <v:rect id="_x0000_i1027" style="width:0;height:1.5pt" o:hralign="center" o:hrstd="t" o:hr="t" fillcolor="#a0a0a0" stroked="f"/>
        </w:pict>
      </w:r>
    </w:p>
    <w:p w14:paraId="4C70D4CF" w14:textId="77777777" w:rsidR="004E2C59" w:rsidRPr="004E2C59" w:rsidRDefault="004E2C59" w:rsidP="004E2C59">
      <w:pPr>
        <w:spacing w:before="100" w:beforeAutospacing="1" w:after="100" w:afterAutospacing="1"/>
        <w:outlineLvl w:val="1"/>
        <w:rPr>
          <w:rFonts w:asciiTheme="majorHAnsi" w:eastAsia="Times New Roman" w:hAnsiTheme="majorHAnsi" w:cstheme="majorHAnsi"/>
          <w:b/>
          <w:bCs/>
        </w:rPr>
      </w:pPr>
      <w:r w:rsidRPr="004E2C59">
        <w:rPr>
          <w:rFonts w:asciiTheme="majorHAnsi" w:eastAsia="Times New Roman" w:hAnsiTheme="majorHAnsi" w:cstheme="majorHAnsi"/>
          <w:b/>
          <w:bCs/>
        </w:rPr>
        <w:t>System-Level Observations</w:t>
      </w:r>
    </w:p>
    <w:p w14:paraId="1FA0E85C" w14:textId="77777777" w:rsidR="004E2C59" w:rsidRPr="004E2C59" w:rsidRDefault="004E2C59" w:rsidP="004E2C59">
      <w:pPr>
        <w:spacing w:before="100" w:beforeAutospacing="1" w:after="100" w:afterAutospacing="1"/>
        <w:rPr>
          <w:rFonts w:asciiTheme="majorHAnsi" w:eastAsia="Times New Roman" w:hAnsiTheme="majorHAnsi" w:cstheme="majorHAnsi"/>
        </w:rPr>
      </w:pPr>
      <w:r w:rsidRPr="004E2C59">
        <w:rPr>
          <w:rFonts w:asciiTheme="majorHAnsi" w:eastAsia="Times New Roman" w:hAnsiTheme="majorHAnsi" w:cstheme="majorHAnsi"/>
        </w:rPr>
        <w:t>When cross-referenced with other procedures (Design Control, CAPA, Document Control, etc.):</w:t>
      </w:r>
    </w:p>
    <w:tbl>
      <w:tblPr>
        <w:tblStyle w:val="GridTable2-Accent3"/>
        <w:tblW w:w="12960" w:type="dxa"/>
        <w:tblLook w:val="04A0" w:firstRow="1" w:lastRow="0" w:firstColumn="1" w:lastColumn="0" w:noHBand="0" w:noVBand="1"/>
      </w:tblPr>
      <w:tblGrid>
        <w:gridCol w:w="4314"/>
        <w:gridCol w:w="1275"/>
        <w:gridCol w:w="2793"/>
        <w:gridCol w:w="4578"/>
      </w:tblGrid>
      <w:tr w:rsidR="00AF6585" w:rsidRPr="004E2C59" w14:paraId="3B320B9F" w14:textId="77777777" w:rsidTr="78B33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hideMark/>
          </w:tcPr>
          <w:p w14:paraId="7AFEDF1F" w14:textId="77777777" w:rsidR="004E2C59" w:rsidRPr="004E2C59" w:rsidRDefault="004E2C59" w:rsidP="004E2C59">
            <w:pPr>
              <w:jc w:val="center"/>
              <w:rPr>
                <w:rFonts w:asciiTheme="majorHAnsi" w:eastAsia="Times New Roman" w:hAnsiTheme="majorHAnsi" w:cstheme="majorHAnsi"/>
              </w:rPr>
            </w:pPr>
            <w:r w:rsidRPr="004E2C59">
              <w:rPr>
                <w:rFonts w:asciiTheme="majorHAnsi" w:eastAsia="Times New Roman" w:hAnsiTheme="majorHAnsi" w:cstheme="majorHAnsi"/>
              </w:rPr>
              <w:t>Issue</w:t>
            </w:r>
          </w:p>
        </w:tc>
        <w:tc>
          <w:tcPr>
            <w:tcW w:w="1275" w:type="dxa"/>
            <w:hideMark/>
          </w:tcPr>
          <w:p w14:paraId="1EC28FF7" w14:textId="77777777" w:rsidR="004E2C59" w:rsidRPr="004E2C59" w:rsidRDefault="004E2C59" w:rsidP="004E2C59">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Severity</w:t>
            </w:r>
          </w:p>
        </w:tc>
        <w:tc>
          <w:tcPr>
            <w:tcW w:w="2793" w:type="dxa"/>
            <w:hideMark/>
          </w:tcPr>
          <w:p w14:paraId="2919B932" w14:textId="77777777" w:rsidR="004E2C59" w:rsidRPr="004E2C59" w:rsidRDefault="004E2C59" w:rsidP="004E2C59">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Observation</w:t>
            </w:r>
          </w:p>
        </w:tc>
        <w:tc>
          <w:tcPr>
            <w:tcW w:w="4578" w:type="dxa"/>
            <w:hideMark/>
          </w:tcPr>
          <w:p w14:paraId="5AE26B0F" w14:textId="77777777" w:rsidR="004E2C59" w:rsidRPr="004E2C59" w:rsidRDefault="004E2C59" w:rsidP="004E2C59">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Recommended System-Level Action</w:t>
            </w:r>
          </w:p>
        </w:tc>
      </w:tr>
      <w:tr w:rsidR="00AF6585" w:rsidRPr="004E2C59" w14:paraId="60509773" w14:textId="77777777" w:rsidTr="78B33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hideMark/>
          </w:tcPr>
          <w:p w14:paraId="09F49F31" w14:textId="77777777" w:rsidR="004E2C59" w:rsidRPr="004E2C59" w:rsidRDefault="004E2C59" w:rsidP="004E2C59">
            <w:pPr>
              <w:rPr>
                <w:rFonts w:asciiTheme="majorHAnsi" w:eastAsia="Times New Roman" w:hAnsiTheme="majorHAnsi" w:cstheme="majorHAnsi"/>
              </w:rPr>
            </w:pPr>
            <w:r w:rsidRPr="004E2C59">
              <w:rPr>
                <w:rFonts w:asciiTheme="majorHAnsi" w:eastAsia="Times New Roman" w:hAnsiTheme="majorHAnsi" w:cstheme="majorHAnsi"/>
              </w:rPr>
              <w:t>No defined interface between CAPA and risk management</w:t>
            </w:r>
          </w:p>
        </w:tc>
        <w:tc>
          <w:tcPr>
            <w:tcW w:w="1275" w:type="dxa"/>
            <w:hideMark/>
          </w:tcPr>
          <w:p w14:paraId="088BD8C5"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b/>
                <w:bCs/>
              </w:rPr>
              <w:t>Critical</w:t>
            </w:r>
          </w:p>
        </w:tc>
        <w:tc>
          <w:tcPr>
            <w:tcW w:w="2793" w:type="dxa"/>
            <w:hideMark/>
          </w:tcPr>
          <w:p w14:paraId="7807B95B"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CAPA Procedure does not reference feedback to RMF</w:t>
            </w:r>
          </w:p>
        </w:tc>
        <w:tc>
          <w:tcPr>
            <w:tcW w:w="4578" w:type="dxa"/>
            <w:hideMark/>
          </w:tcPr>
          <w:p w14:paraId="5B5ED650" w14:textId="77777777" w:rsidR="004E2C59" w:rsidRPr="004E2C59" w:rsidRDefault="004E2C59" w:rsidP="004E2C5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Add requirement in CAPA to evaluate if nonconformance requires RMF update</w:t>
            </w:r>
          </w:p>
        </w:tc>
      </w:tr>
      <w:tr w:rsidR="004E2C59" w:rsidRPr="004E2C59" w14:paraId="2EE655AE" w14:textId="77777777" w:rsidTr="78B334D0">
        <w:tc>
          <w:tcPr>
            <w:cnfStyle w:val="001000000000" w:firstRow="0" w:lastRow="0" w:firstColumn="1" w:lastColumn="0" w:oddVBand="0" w:evenVBand="0" w:oddHBand="0" w:evenHBand="0" w:firstRowFirstColumn="0" w:firstRowLastColumn="0" w:lastRowFirstColumn="0" w:lastRowLastColumn="0"/>
            <w:tcW w:w="4314" w:type="dxa"/>
            <w:hideMark/>
          </w:tcPr>
          <w:p w14:paraId="0ECEEF32" w14:textId="77777777" w:rsidR="004E2C59" w:rsidRPr="004E2C59" w:rsidRDefault="004E2C59" w:rsidP="004E2C59">
            <w:pPr>
              <w:rPr>
                <w:rFonts w:asciiTheme="majorHAnsi" w:eastAsia="Times New Roman" w:hAnsiTheme="majorHAnsi" w:cstheme="majorHAnsi"/>
              </w:rPr>
            </w:pPr>
            <w:r w:rsidRPr="004E2C59">
              <w:rPr>
                <w:rFonts w:asciiTheme="majorHAnsi" w:eastAsia="Times New Roman" w:hAnsiTheme="majorHAnsi" w:cstheme="majorHAnsi"/>
              </w:rPr>
              <w:t>Design Control references risk management but does not require RMF updates for changes</w:t>
            </w:r>
          </w:p>
        </w:tc>
        <w:tc>
          <w:tcPr>
            <w:tcW w:w="1275" w:type="dxa"/>
            <w:hideMark/>
          </w:tcPr>
          <w:p w14:paraId="33BB1187"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b/>
                <w:bCs/>
              </w:rPr>
              <w:t>Moderate</w:t>
            </w:r>
          </w:p>
        </w:tc>
        <w:tc>
          <w:tcPr>
            <w:tcW w:w="2793" w:type="dxa"/>
            <w:hideMark/>
          </w:tcPr>
          <w:p w14:paraId="2A9C4302" w14:textId="7777777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Risk activities not clearly triggered by design change</w:t>
            </w:r>
          </w:p>
        </w:tc>
        <w:tc>
          <w:tcPr>
            <w:tcW w:w="4578" w:type="dxa"/>
            <w:hideMark/>
          </w:tcPr>
          <w:p w14:paraId="47C36AD5" w14:textId="4494D0C7" w:rsidR="004E2C59" w:rsidRPr="004E2C59" w:rsidRDefault="004E2C59" w:rsidP="004E2C5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4E2C59">
              <w:rPr>
                <w:rFonts w:asciiTheme="majorHAnsi" w:eastAsia="Times New Roman" w:hAnsiTheme="majorHAnsi" w:cstheme="majorHAnsi"/>
              </w:rPr>
              <w:t xml:space="preserve">Revise </w:t>
            </w:r>
            <w:r w:rsidR="0008536D">
              <w:rPr>
                <w:rFonts w:asciiTheme="majorHAnsi" w:eastAsia="Times New Roman" w:hAnsiTheme="majorHAnsi" w:cstheme="majorHAnsi"/>
              </w:rPr>
              <w:t>Change Control Process SOP</w:t>
            </w:r>
            <w:r w:rsidRPr="004E2C59">
              <w:rPr>
                <w:rFonts w:asciiTheme="majorHAnsi" w:eastAsia="Times New Roman" w:hAnsiTheme="majorHAnsi" w:cstheme="majorHAnsi"/>
              </w:rPr>
              <w:t xml:space="preserve"> and Design Control SOP to mandate RMF review/update</w:t>
            </w:r>
          </w:p>
        </w:tc>
      </w:tr>
    </w:tbl>
    <w:p w14:paraId="44EA5A86" w14:textId="77777777" w:rsidR="004E2C59" w:rsidRPr="004E2C59" w:rsidRDefault="00656355" w:rsidP="004E2C59">
      <w:pPr>
        <w:rPr>
          <w:rFonts w:asciiTheme="majorHAnsi" w:eastAsia="Times New Roman" w:hAnsiTheme="majorHAnsi" w:cstheme="majorHAnsi"/>
        </w:rPr>
      </w:pPr>
      <w:r>
        <w:rPr>
          <w:rFonts w:asciiTheme="majorHAnsi" w:eastAsia="Times New Roman" w:hAnsiTheme="majorHAnsi" w:cstheme="majorHAnsi"/>
        </w:rPr>
        <w:pict w14:anchorId="59665CA2">
          <v:rect id="_x0000_i1028" style="width:0;height:1.5pt" o:hralign="center" o:hrstd="t" o:hr="t" fillcolor="#a0a0a0" stroked="f"/>
        </w:pict>
      </w:r>
    </w:p>
    <w:p w14:paraId="6D9FAB28" w14:textId="77777777" w:rsidR="004E2C59" w:rsidRPr="004E2C59" w:rsidRDefault="004E2C59" w:rsidP="004E2C59">
      <w:pPr>
        <w:spacing w:before="100" w:beforeAutospacing="1" w:after="100" w:afterAutospacing="1"/>
        <w:outlineLvl w:val="1"/>
        <w:rPr>
          <w:rFonts w:asciiTheme="majorHAnsi" w:eastAsia="Times New Roman" w:hAnsiTheme="majorHAnsi" w:cstheme="majorHAnsi"/>
          <w:b/>
          <w:bCs/>
        </w:rPr>
      </w:pPr>
      <w:r w:rsidRPr="004E2C59">
        <w:rPr>
          <w:rFonts w:asciiTheme="majorHAnsi" w:eastAsia="Times New Roman" w:hAnsiTheme="majorHAnsi" w:cstheme="majorHAnsi"/>
          <w:b/>
          <w:bCs/>
        </w:rPr>
        <w:t>Combination Product Considerations</w:t>
      </w:r>
    </w:p>
    <w:p w14:paraId="21760DA0" w14:textId="77777777" w:rsidR="004E2C59" w:rsidRPr="004E2C59" w:rsidRDefault="004E2C59" w:rsidP="004E2C59">
      <w:pPr>
        <w:spacing w:before="100" w:beforeAutospacing="1" w:after="100" w:afterAutospacing="1"/>
        <w:rPr>
          <w:rFonts w:asciiTheme="majorHAnsi" w:eastAsia="Times New Roman" w:hAnsiTheme="majorHAnsi" w:cstheme="majorHAnsi"/>
        </w:rPr>
      </w:pPr>
      <w:r w:rsidRPr="004E2C59">
        <w:rPr>
          <w:rFonts w:asciiTheme="majorHAnsi" w:eastAsia="Times New Roman" w:hAnsiTheme="majorHAnsi" w:cstheme="majorHAnsi"/>
        </w:rPr>
        <w:lastRenderedPageBreak/>
        <w:t xml:space="preserve">The SOP references combination products and identifies that drug constituent risks are out of scope. However, </w:t>
      </w:r>
      <w:r w:rsidRPr="004E2C59">
        <w:rPr>
          <w:rFonts w:asciiTheme="majorHAnsi" w:eastAsia="Times New Roman" w:hAnsiTheme="majorHAnsi" w:cstheme="majorHAnsi"/>
          <w:b/>
          <w:bCs/>
        </w:rPr>
        <w:t>21 CFR Part 4</w:t>
      </w:r>
      <w:r w:rsidRPr="004E2C59">
        <w:rPr>
          <w:rFonts w:asciiTheme="majorHAnsi" w:eastAsia="Times New Roman" w:hAnsiTheme="majorHAnsi" w:cstheme="majorHAnsi"/>
        </w:rPr>
        <w:t xml:space="preserve"> requires integrated consideration of both device and drug risks. Recommendations:</w:t>
      </w:r>
    </w:p>
    <w:p w14:paraId="48F582C6" w14:textId="77777777" w:rsidR="004E2C59" w:rsidRPr="009242B9" w:rsidRDefault="004E2C59" w:rsidP="004E2C59">
      <w:pPr>
        <w:numPr>
          <w:ilvl w:val="0"/>
          <w:numId w:val="3"/>
        </w:numPr>
        <w:spacing w:before="100" w:beforeAutospacing="1" w:after="100" w:afterAutospacing="1"/>
        <w:rPr>
          <w:rFonts w:asciiTheme="majorHAnsi" w:eastAsia="Times New Roman" w:hAnsiTheme="majorHAnsi" w:cstheme="majorHAnsi"/>
        </w:rPr>
      </w:pPr>
      <w:r w:rsidRPr="009242B9">
        <w:rPr>
          <w:rFonts w:asciiTheme="majorHAnsi" w:eastAsia="Times New Roman" w:hAnsiTheme="majorHAnsi" w:cstheme="majorHAnsi"/>
        </w:rPr>
        <w:t>Include interface mechanisms between the device RMF and drug development risk assessments.</w:t>
      </w:r>
    </w:p>
    <w:p w14:paraId="0DA6C2FE" w14:textId="77777777" w:rsidR="004E2C59" w:rsidRPr="004E2C59" w:rsidRDefault="004E2C59" w:rsidP="004E2C59">
      <w:pPr>
        <w:numPr>
          <w:ilvl w:val="0"/>
          <w:numId w:val="3"/>
        </w:numPr>
        <w:spacing w:before="100" w:beforeAutospacing="1" w:after="100" w:afterAutospacing="1"/>
        <w:rPr>
          <w:rFonts w:asciiTheme="majorHAnsi" w:eastAsia="Times New Roman" w:hAnsiTheme="majorHAnsi" w:cstheme="majorHAnsi"/>
        </w:rPr>
      </w:pPr>
      <w:r w:rsidRPr="009242B9">
        <w:rPr>
          <w:rFonts w:asciiTheme="majorHAnsi" w:eastAsia="Times New Roman" w:hAnsiTheme="majorHAnsi" w:cstheme="majorHAnsi"/>
        </w:rPr>
        <w:t>Define joint review expectations</w:t>
      </w:r>
      <w:r w:rsidRPr="004E2C59">
        <w:rPr>
          <w:rFonts w:asciiTheme="majorHAnsi" w:eastAsia="Times New Roman" w:hAnsiTheme="majorHAnsi" w:cstheme="majorHAnsi"/>
        </w:rPr>
        <w:t xml:space="preserve"> with drug safety teams.</w:t>
      </w:r>
    </w:p>
    <w:p w14:paraId="519354AD" w14:textId="77777777" w:rsidR="004E2C59" w:rsidRPr="004E2C59" w:rsidRDefault="004E2C59" w:rsidP="004E2C59">
      <w:pPr>
        <w:numPr>
          <w:ilvl w:val="0"/>
          <w:numId w:val="3"/>
        </w:numPr>
        <w:spacing w:before="100" w:beforeAutospacing="1" w:after="100" w:afterAutospacing="1"/>
        <w:rPr>
          <w:rFonts w:asciiTheme="majorHAnsi" w:eastAsia="Times New Roman" w:hAnsiTheme="majorHAnsi" w:cstheme="majorHAnsi"/>
        </w:rPr>
      </w:pPr>
      <w:r w:rsidRPr="004E2C59">
        <w:rPr>
          <w:rFonts w:asciiTheme="majorHAnsi" w:eastAsia="Times New Roman" w:hAnsiTheme="majorHAnsi" w:cstheme="majorHAnsi"/>
        </w:rPr>
        <w:t xml:space="preserve">Require combination product RMF to include constituent-specific risks where device delivery affects drug safety or efficacy (e.g., </w:t>
      </w:r>
      <w:proofErr w:type="spellStart"/>
      <w:r w:rsidRPr="004E2C59">
        <w:rPr>
          <w:rFonts w:asciiTheme="majorHAnsi" w:eastAsia="Times New Roman" w:hAnsiTheme="majorHAnsi" w:cstheme="majorHAnsi"/>
        </w:rPr>
        <w:t>leachables</w:t>
      </w:r>
      <w:proofErr w:type="spellEnd"/>
      <w:r w:rsidRPr="004E2C59">
        <w:rPr>
          <w:rFonts w:asciiTheme="majorHAnsi" w:eastAsia="Times New Roman" w:hAnsiTheme="majorHAnsi" w:cstheme="majorHAnsi"/>
        </w:rPr>
        <w:t>, dose accuracy).</w:t>
      </w:r>
    </w:p>
    <w:p w14:paraId="1C2458DA" w14:textId="77777777" w:rsidR="004E2C59" w:rsidRPr="004E2C59" w:rsidRDefault="00656355" w:rsidP="004E2C59">
      <w:pPr>
        <w:rPr>
          <w:rFonts w:asciiTheme="majorHAnsi" w:eastAsia="Times New Roman" w:hAnsiTheme="majorHAnsi" w:cstheme="majorHAnsi"/>
        </w:rPr>
      </w:pPr>
      <w:r>
        <w:rPr>
          <w:rFonts w:asciiTheme="majorHAnsi" w:eastAsia="Times New Roman" w:hAnsiTheme="majorHAnsi" w:cstheme="majorHAnsi"/>
        </w:rPr>
        <w:pict w14:anchorId="46FC9083">
          <v:rect id="_x0000_i1029" style="width:0;height:1.5pt" o:hralign="center" o:hrstd="t" o:hr="t" fillcolor="#a0a0a0" stroked="f"/>
        </w:pict>
      </w:r>
    </w:p>
    <w:p w14:paraId="39715B2B" w14:textId="77777777" w:rsidR="004E2C59" w:rsidRPr="004E2C59" w:rsidRDefault="004E2C59" w:rsidP="004E2C59">
      <w:pPr>
        <w:spacing w:before="100" w:beforeAutospacing="1" w:after="100" w:afterAutospacing="1"/>
        <w:outlineLvl w:val="1"/>
        <w:rPr>
          <w:rFonts w:asciiTheme="majorHAnsi" w:eastAsia="Times New Roman" w:hAnsiTheme="majorHAnsi" w:cstheme="majorHAnsi"/>
          <w:b/>
          <w:bCs/>
        </w:rPr>
      </w:pPr>
      <w:r w:rsidRPr="004E2C59">
        <w:rPr>
          <w:rFonts w:asciiTheme="majorHAnsi" w:eastAsia="Times New Roman" w:hAnsiTheme="majorHAnsi" w:cstheme="majorHAnsi"/>
          <w:b/>
          <w:bCs/>
        </w:rPr>
        <w:t>Conclusion</w:t>
      </w:r>
    </w:p>
    <w:p w14:paraId="4CC34E65" w14:textId="77777777" w:rsidR="004E2C59" w:rsidRPr="006B2647" w:rsidRDefault="004E2C59" w:rsidP="004E2C59">
      <w:pPr>
        <w:spacing w:before="100" w:beforeAutospacing="1" w:after="100" w:afterAutospacing="1"/>
        <w:rPr>
          <w:rFonts w:asciiTheme="majorHAnsi" w:eastAsia="Times New Roman" w:hAnsiTheme="majorHAnsi" w:cstheme="majorHAnsi"/>
        </w:rPr>
      </w:pPr>
      <w:r w:rsidRPr="006B2647">
        <w:rPr>
          <w:rFonts w:asciiTheme="majorHAnsi" w:eastAsia="Times New Roman" w:hAnsiTheme="majorHAnsi" w:cstheme="majorHAnsi"/>
        </w:rPr>
        <w:t>The current SOP aligns partially with the intent of ISO 14971:2019 but omits multiple required elements, especially those related to:</w:t>
      </w:r>
    </w:p>
    <w:p w14:paraId="7BA3675B" w14:textId="77777777" w:rsidR="004E2C59" w:rsidRPr="006B2647" w:rsidRDefault="004E2C59" w:rsidP="004E2C59">
      <w:pPr>
        <w:numPr>
          <w:ilvl w:val="0"/>
          <w:numId w:val="4"/>
        </w:numPr>
        <w:spacing w:before="100" w:beforeAutospacing="1" w:after="100" w:afterAutospacing="1"/>
        <w:rPr>
          <w:rFonts w:asciiTheme="majorHAnsi" w:eastAsia="Times New Roman" w:hAnsiTheme="majorHAnsi" w:cstheme="majorHAnsi"/>
        </w:rPr>
      </w:pPr>
      <w:r w:rsidRPr="006B2647">
        <w:rPr>
          <w:rFonts w:asciiTheme="majorHAnsi" w:eastAsia="Times New Roman" w:hAnsiTheme="majorHAnsi" w:cstheme="majorHAnsi"/>
        </w:rPr>
        <w:t>Comprehensive documentation (risk plan, risk file, residual risk evaluation)</w:t>
      </w:r>
    </w:p>
    <w:p w14:paraId="46C11920" w14:textId="77777777" w:rsidR="004E2C59" w:rsidRPr="006B2647" w:rsidRDefault="004E2C59" w:rsidP="004E2C59">
      <w:pPr>
        <w:numPr>
          <w:ilvl w:val="0"/>
          <w:numId w:val="4"/>
        </w:numPr>
        <w:spacing w:before="100" w:beforeAutospacing="1" w:after="100" w:afterAutospacing="1"/>
        <w:rPr>
          <w:rFonts w:asciiTheme="majorHAnsi" w:eastAsia="Times New Roman" w:hAnsiTheme="majorHAnsi" w:cstheme="majorHAnsi"/>
        </w:rPr>
      </w:pPr>
      <w:r w:rsidRPr="006B2647">
        <w:rPr>
          <w:rFonts w:asciiTheme="majorHAnsi" w:eastAsia="Times New Roman" w:hAnsiTheme="majorHAnsi" w:cstheme="majorHAnsi"/>
        </w:rPr>
        <w:t>Risk control rigor</w:t>
      </w:r>
    </w:p>
    <w:p w14:paraId="78EDBF42" w14:textId="77777777" w:rsidR="004E2C59" w:rsidRPr="006B2647" w:rsidRDefault="004E2C59" w:rsidP="004E2C59">
      <w:pPr>
        <w:numPr>
          <w:ilvl w:val="0"/>
          <w:numId w:val="4"/>
        </w:numPr>
        <w:spacing w:before="100" w:beforeAutospacing="1" w:after="100" w:afterAutospacing="1"/>
        <w:rPr>
          <w:rFonts w:asciiTheme="majorHAnsi" w:eastAsia="Times New Roman" w:hAnsiTheme="majorHAnsi" w:cstheme="majorHAnsi"/>
        </w:rPr>
      </w:pPr>
      <w:r w:rsidRPr="006B2647">
        <w:rPr>
          <w:rFonts w:asciiTheme="majorHAnsi" w:eastAsia="Times New Roman" w:hAnsiTheme="majorHAnsi" w:cstheme="majorHAnsi"/>
        </w:rPr>
        <w:t>Post-market integration</w:t>
      </w:r>
    </w:p>
    <w:p w14:paraId="53CF30A0" w14:textId="77777777" w:rsidR="004E2C59" w:rsidRPr="006B2647" w:rsidRDefault="004E2C59" w:rsidP="004E2C59">
      <w:pPr>
        <w:numPr>
          <w:ilvl w:val="0"/>
          <w:numId w:val="4"/>
        </w:numPr>
        <w:spacing w:before="100" w:beforeAutospacing="1" w:after="100" w:afterAutospacing="1"/>
        <w:rPr>
          <w:rFonts w:asciiTheme="majorHAnsi" w:eastAsia="Times New Roman" w:hAnsiTheme="majorHAnsi" w:cstheme="majorHAnsi"/>
        </w:rPr>
      </w:pPr>
      <w:r w:rsidRPr="006B2647">
        <w:rPr>
          <w:rFonts w:asciiTheme="majorHAnsi" w:eastAsia="Times New Roman" w:hAnsiTheme="majorHAnsi" w:cstheme="majorHAnsi"/>
        </w:rPr>
        <w:t>Combination product bridging</w:t>
      </w:r>
    </w:p>
    <w:p w14:paraId="4E894876" w14:textId="77777777" w:rsidR="004E2C59" w:rsidRPr="006B2647" w:rsidRDefault="004E2C59" w:rsidP="004E2C59">
      <w:pPr>
        <w:spacing w:before="100" w:beforeAutospacing="1" w:after="100" w:afterAutospacing="1"/>
        <w:rPr>
          <w:rFonts w:asciiTheme="majorHAnsi" w:eastAsia="Times New Roman" w:hAnsiTheme="majorHAnsi" w:cstheme="majorHAnsi"/>
        </w:rPr>
      </w:pPr>
      <w:r w:rsidRPr="006B2647">
        <w:rPr>
          <w:rFonts w:asciiTheme="majorHAnsi" w:eastAsia="Times New Roman" w:hAnsiTheme="majorHAnsi" w:cstheme="majorHAnsi"/>
        </w:rPr>
        <w:t>To ensure regulatory compliance and audit readiness under ISO 13485, 21 CFR Part 820, and ISO 14971:2019, revision of the SOP is strongly recommended.</w:t>
      </w:r>
    </w:p>
    <w:p w14:paraId="03ADA4A6" w14:textId="77777777" w:rsidR="004E2C59" w:rsidRPr="004E2C59" w:rsidRDefault="00656355" w:rsidP="004E2C59">
      <w:pPr>
        <w:rPr>
          <w:rFonts w:asciiTheme="majorHAnsi" w:eastAsia="Times New Roman" w:hAnsiTheme="majorHAnsi" w:cstheme="majorHAnsi"/>
        </w:rPr>
      </w:pPr>
      <w:r>
        <w:rPr>
          <w:rFonts w:asciiTheme="majorHAnsi" w:eastAsia="Times New Roman" w:hAnsiTheme="majorHAnsi" w:cstheme="majorHAnsi"/>
        </w:rPr>
        <w:pict w14:anchorId="6240CD60">
          <v:rect id="_x0000_i1030" style="width:0;height:1.5pt" o:hralign="center" o:hrstd="t" o:hr="t" fillcolor="#a0a0a0" stroked="f"/>
        </w:pict>
      </w:r>
    </w:p>
    <w:p w14:paraId="68CE6F7A" w14:textId="5297790F" w:rsidR="00C24724" w:rsidRDefault="00C24724">
      <w:pPr>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br w:type="page"/>
      </w:r>
    </w:p>
    <w:p w14:paraId="192397BE" w14:textId="0315724C" w:rsidR="00DA3951" w:rsidRPr="00D801AA" w:rsidRDefault="00DA3951" w:rsidP="00DA3951">
      <w:pPr>
        <w:spacing w:before="100" w:beforeAutospacing="1" w:after="100" w:afterAutospacing="1"/>
        <w:outlineLvl w:val="2"/>
        <w:rPr>
          <w:rFonts w:asciiTheme="majorHAnsi" w:eastAsia="Times New Roman" w:hAnsiTheme="majorHAnsi" w:cstheme="majorHAnsi"/>
          <w:sz w:val="28"/>
          <w:szCs w:val="28"/>
        </w:rPr>
      </w:pPr>
      <w:r w:rsidRPr="004E2C59">
        <w:rPr>
          <w:rFonts w:asciiTheme="majorHAnsi" w:eastAsia="Times New Roman" w:hAnsiTheme="majorHAnsi" w:cstheme="majorHAnsi"/>
          <w:b/>
          <w:bCs/>
          <w:sz w:val="28"/>
          <w:szCs w:val="28"/>
        </w:rPr>
        <w:lastRenderedPageBreak/>
        <w:t>Document Reviewed: SOP-00</w:t>
      </w:r>
      <w:r w:rsidRPr="00D801AA">
        <w:rPr>
          <w:rFonts w:asciiTheme="majorHAnsi" w:eastAsia="Times New Roman" w:hAnsiTheme="majorHAnsi" w:cstheme="majorHAnsi"/>
          <w:b/>
          <w:bCs/>
          <w:sz w:val="28"/>
          <w:szCs w:val="28"/>
        </w:rPr>
        <w:t>36</w:t>
      </w:r>
      <w:r w:rsidRPr="004E2C59">
        <w:rPr>
          <w:rFonts w:asciiTheme="majorHAnsi" w:eastAsia="Times New Roman" w:hAnsiTheme="majorHAnsi" w:cstheme="majorHAnsi"/>
          <w:b/>
          <w:bCs/>
          <w:sz w:val="28"/>
          <w:szCs w:val="28"/>
        </w:rPr>
        <w:t xml:space="preserve"> </w:t>
      </w:r>
      <w:r w:rsidRPr="00D801AA">
        <w:rPr>
          <w:rFonts w:asciiTheme="majorHAnsi" w:eastAsia="Times New Roman" w:hAnsiTheme="majorHAnsi" w:cstheme="majorHAnsi"/>
          <w:b/>
          <w:bCs/>
          <w:sz w:val="28"/>
          <w:szCs w:val="28"/>
        </w:rPr>
        <w:t>Design Control</w:t>
      </w:r>
    </w:p>
    <w:p w14:paraId="4A5F7DF1" w14:textId="1DFD4A99" w:rsidR="00F0670D" w:rsidRPr="00F0670D" w:rsidRDefault="00F0670D" w:rsidP="00F0670D">
      <w:pPr>
        <w:spacing w:before="100" w:beforeAutospacing="1" w:after="100" w:afterAutospacing="1"/>
        <w:rPr>
          <w:rFonts w:asciiTheme="majorHAnsi" w:eastAsia="Times New Roman" w:hAnsiTheme="majorHAnsi" w:cstheme="majorHAnsi"/>
        </w:rPr>
      </w:pPr>
      <w:r w:rsidRPr="00F0670D">
        <w:rPr>
          <w:rFonts w:asciiTheme="majorHAnsi" w:eastAsia="Times New Roman" w:hAnsiTheme="majorHAnsi" w:cstheme="majorHAnsi"/>
        </w:rPr>
        <w:t xml:space="preserve">The table </w:t>
      </w:r>
      <w:r w:rsidR="00DA3951" w:rsidRPr="00F145DA">
        <w:rPr>
          <w:rFonts w:asciiTheme="majorHAnsi" w:eastAsia="Times New Roman" w:hAnsiTheme="majorHAnsi" w:cstheme="majorHAnsi"/>
        </w:rPr>
        <w:t>below</w:t>
      </w:r>
      <w:r w:rsidRPr="00F0670D">
        <w:rPr>
          <w:rFonts w:asciiTheme="majorHAnsi" w:eastAsia="Times New Roman" w:hAnsiTheme="majorHAnsi" w:cstheme="majorHAnsi"/>
        </w:rPr>
        <w:t xml:space="preserve"> provides a detailed, critical compliance review of the “SOP-0036 Design Control” procedure against the following regulatory and standards references:</w:t>
      </w:r>
    </w:p>
    <w:p w14:paraId="4C6F6509" w14:textId="77777777" w:rsidR="00F0670D" w:rsidRPr="00042FB1" w:rsidRDefault="00F0670D" w:rsidP="00F0670D">
      <w:pPr>
        <w:numPr>
          <w:ilvl w:val="0"/>
          <w:numId w:val="5"/>
        </w:numPr>
        <w:spacing w:before="100" w:beforeAutospacing="1" w:after="100" w:afterAutospacing="1"/>
        <w:rPr>
          <w:rFonts w:asciiTheme="majorHAnsi" w:eastAsia="Times New Roman" w:hAnsiTheme="majorHAnsi" w:cstheme="majorHAnsi"/>
        </w:rPr>
      </w:pPr>
      <w:r w:rsidRPr="00042FB1">
        <w:rPr>
          <w:rFonts w:asciiTheme="majorHAnsi" w:eastAsia="Times New Roman" w:hAnsiTheme="majorHAnsi" w:cstheme="majorHAnsi"/>
        </w:rPr>
        <w:t>21 CFR Part 820.30 (Design Controls)</w:t>
      </w:r>
    </w:p>
    <w:p w14:paraId="6883E5FB" w14:textId="77777777" w:rsidR="00F0670D" w:rsidRPr="00042FB1" w:rsidRDefault="00F0670D" w:rsidP="00F0670D">
      <w:pPr>
        <w:numPr>
          <w:ilvl w:val="0"/>
          <w:numId w:val="5"/>
        </w:numPr>
        <w:spacing w:before="100" w:beforeAutospacing="1" w:after="100" w:afterAutospacing="1"/>
        <w:rPr>
          <w:rFonts w:asciiTheme="majorHAnsi" w:eastAsia="Times New Roman" w:hAnsiTheme="majorHAnsi" w:cstheme="majorHAnsi"/>
        </w:rPr>
      </w:pPr>
      <w:r w:rsidRPr="00042FB1">
        <w:rPr>
          <w:rFonts w:asciiTheme="majorHAnsi" w:eastAsia="Times New Roman" w:hAnsiTheme="majorHAnsi" w:cstheme="majorHAnsi"/>
        </w:rPr>
        <w:t>ISO 13485:2016</w:t>
      </w:r>
    </w:p>
    <w:p w14:paraId="271AB49D" w14:textId="77777777" w:rsidR="00F0670D" w:rsidRPr="00042FB1" w:rsidRDefault="00F0670D" w:rsidP="00F0670D">
      <w:pPr>
        <w:numPr>
          <w:ilvl w:val="0"/>
          <w:numId w:val="5"/>
        </w:numPr>
        <w:spacing w:before="100" w:beforeAutospacing="1" w:after="100" w:afterAutospacing="1"/>
        <w:rPr>
          <w:rFonts w:asciiTheme="majorHAnsi" w:eastAsia="Times New Roman" w:hAnsiTheme="majorHAnsi" w:cstheme="majorHAnsi"/>
        </w:rPr>
      </w:pPr>
      <w:r w:rsidRPr="00042FB1">
        <w:rPr>
          <w:rFonts w:asciiTheme="majorHAnsi" w:eastAsia="Times New Roman" w:hAnsiTheme="majorHAnsi" w:cstheme="majorHAnsi"/>
        </w:rPr>
        <w:t>ISO 14971:2019</w:t>
      </w:r>
    </w:p>
    <w:p w14:paraId="468FAA20" w14:textId="77777777" w:rsidR="00F0670D" w:rsidRPr="00042FB1" w:rsidRDefault="00F0670D" w:rsidP="00F0670D">
      <w:pPr>
        <w:numPr>
          <w:ilvl w:val="0"/>
          <w:numId w:val="5"/>
        </w:numPr>
        <w:spacing w:before="100" w:beforeAutospacing="1" w:after="100" w:afterAutospacing="1"/>
        <w:rPr>
          <w:rFonts w:asciiTheme="majorHAnsi" w:eastAsia="Times New Roman" w:hAnsiTheme="majorHAnsi" w:cstheme="majorHAnsi"/>
        </w:rPr>
      </w:pPr>
      <w:r w:rsidRPr="00042FB1">
        <w:rPr>
          <w:rFonts w:asciiTheme="majorHAnsi" w:eastAsia="Times New Roman" w:hAnsiTheme="majorHAnsi" w:cstheme="majorHAnsi"/>
        </w:rPr>
        <w:t>21 CFR Part 4 (for combination products)</w:t>
      </w:r>
    </w:p>
    <w:p w14:paraId="107E6538" w14:textId="77777777" w:rsidR="00F0670D" w:rsidRPr="00F145DA" w:rsidRDefault="00656355" w:rsidP="00F0670D">
      <w:pPr>
        <w:rPr>
          <w:rFonts w:asciiTheme="majorHAnsi" w:eastAsia="Times New Roman" w:hAnsiTheme="majorHAnsi" w:cstheme="majorHAnsi"/>
        </w:rPr>
      </w:pPr>
      <w:r>
        <w:rPr>
          <w:rFonts w:asciiTheme="majorHAnsi" w:eastAsia="Times New Roman" w:hAnsiTheme="majorHAnsi" w:cstheme="majorHAnsi"/>
        </w:rPr>
        <w:pict w14:anchorId="7A82E7D3">
          <v:rect id="_x0000_i1031" style="width:0;height:1.5pt" o:hralign="center" o:hrstd="t" o:hr="t" fillcolor="#a0a0a0" stroked="f"/>
        </w:pict>
      </w:r>
    </w:p>
    <w:p w14:paraId="5B22EE98" w14:textId="77777777" w:rsidR="00DA3951" w:rsidRPr="004E2C59" w:rsidRDefault="00DA3951" w:rsidP="00DA3951">
      <w:pPr>
        <w:spacing w:before="100" w:beforeAutospacing="1" w:after="100" w:afterAutospacing="1"/>
        <w:outlineLvl w:val="1"/>
        <w:rPr>
          <w:rFonts w:asciiTheme="majorHAnsi" w:eastAsia="Times New Roman" w:hAnsiTheme="majorHAnsi" w:cstheme="majorHAnsi"/>
          <w:b/>
          <w:bCs/>
        </w:rPr>
      </w:pPr>
      <w:r w:rsidRPr="004E2C59">
        <w:rPr>
          <w:rFonts w:asciiTheme="majorHAnsi" w:eastAsia="Times New Roman" w:hAnsiTheme="majorHAnsi" w:cstheme="majorHAnsi"/>
          <w:b/>
          <w:bCs/>
        </w:rPr>
        <w:t>Findings Table – Gaps and Recommendations</w:t>
      </w:r>
    </w:p>
    <w:tbl>
      <w:tblPr>
        <w:tblStyle w:val="GridTable2-Accent3"/>
        <w:tblW w:w="0" w:type="auto"/>
        <w:tblLayout w:type="fixed"/>
        <w:tblLook w:val="04A0" w:firstRow="1" w:lastRow="0" w:firstColumn="1" w:lastColumn="0" w:noHBand="0" w:noVBand="1"/>
      </w:tblPr>
      <w:tblGrid>
        <w:gridCol w:w="2245"/>
        <w:gridCol w:w="1355"/>
        <w:gridCol w:w="3865"/>
        <w:gridCol w:w="3330"/>
        <w:gridCol w:w="2155"/>
      </w:tblGrid>
      <w:tr w:rsidR="00AF6585" w:rsidRPr="00F145DA" w14:paraId="131A0E93" w14:textId="77777777" w:rsidTr="00F145D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1305D379" w14:textId="77777777" w:rsidR="00224984" w:rsidRPr="00224984" w:rsidRDefault="00224984" w:rsidP="00224984">
            <w:pPr>
              <w:jc w:val="center"/>
              <w:rPr>
                <w:rFonts w:asciiTheme="majorHAnsi" w:eastAsia="Times New Roman" w:hAnsiTheme="majorHAnsi" w:cstheme="majorHAnsi"/>
                <w:color w:val="000000"/>
              </w:rPr>
            </w:pPr>
            <w:r w:rsidRPr="00224984">
              <w:rPr>
                <w:rFonts w:asciiTheme="majorHAnsi" w:eastAsia="Times New Roman" w:hAnsiTheme="majorHAnsi" w:cstheme="majorHAnsi"/>
                <w:color w:val="000000"/>
              </w:rPr>
              <w:t>Issue Description</w:t>
            </w:r>
          </w:p>
        </w:tc>
        <w:tc>
          <w:tcPr>
            <w:tcW w:w="1355" w:type="dxa"/>
            <w:noWrap/>
            <w:hideMark/>
          </w:tcPr>
          <w:p w14:paraId="618E8A72" w14:textId="77777777" w:rsidR="00224984" w:rsidRPr="00224984" w:rsidRDefault="00224984" w:rsidP="00224984">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Severity Level</w:t>
            </w:r>
          </w:p>
        </w:tc>
        <w:tc>
          <w:tcPr>
            <w:tcW w:w="3865" w:type="dxa"/>
            <w:noWrap/>
            <w:hideMark/>
          </w:tcPr>
          <w:p w14:paraId="34621ED1" w14:textId="77777777" w:rsidR="00224984" w:rsidRPr="00224984" w:rsidRDefault="00224984" w:rsidP="00224984">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Original Excerpt</w:t>
            </w:r>
          </w:p>
        </w:tc>
        <w:tc>
          <w:tcPr>
            <w:tcW w:w="3330" w:type="dxa"/>
            <w:noWrap/>
            <w:hideMark/>
          </w:tcPr>
          <w:p w14:paraId="334504E1" w14:textId="77777777" w:rsidR="00224984" w:rsidRPr="00224984" w:rsidRDefault="00224984" w:rsidP="00224984">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Recommended Revision</w:t>
            </w:r>
          </w:p>
        </w:tc>
        <w:tc>
          <w:tcPr>
            <w:tcW w:w="2155" w:type="dxa"/>
            <w:noWrap/>
            <w:hideMark/>
          </w:tcPr>
          <w:p w14:paraId="79D8F41E" w14:textId="77777777" w:rsidR="00224984" w:rsidRPr="00224984" w:rsidRDefault="00224984" w:rsidP="00224984">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Applicable Standard or Regulation</w:t>
            </w:r>
          </w:p>
        </w:tc>
      </w:tr>
      <w:tr w:rsidR="00AF6585" w:rsidRPr="00F145DA" w14:paraId="46982E5F" w14:textId="77777777" w:rsidTr="00F145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9ADD1A0" w14:textId="77777777" w:rsidR="00224984" w:rsidRPr="00224984" w:rsidRDefault="00224984" w:rsidP="00224984">
            <w:pPr>
              <w:rPr>
                <w:rFonts w:asciiTheme="majorHAnsi" w:eastAsia="Times New Roman" w:hAnsiTheme="majorHAnsi" w:cstheme="majorHAnsi"/>
                <w:color w:val="000000"/>
              </w:rPr>
            </w:pPr>
            <w:r w:rsidRPr="00224984">
              <w:rPr>
                <w:rFonts w:asciiTheme="majorHAnsi" w:eastAsia="Times New Roman" w:hAnsiTheme="majorHAnsi" w:cstheme="majorHAnsi"/>
                <w:color w:val="000000"/>
              </w:rPr>
              <w:t>Absence of explicit linkage between design control phases and risk management process.</w:t>
            </w:r>
          </w:p>
        </w:tc>
        <w:tc>
          <w:tcPr>
            <w:tcW w:w="1355" w:type="dxa"/>
            <w:noWrap/>
            <w:hideMark/>
          </w:tcPr>
          <w:p w14:paraId="4C4FD81E" w14:textId="77777777" w:rsidR="00224984" w:rsidRPr="00224984" w:rsidRDefault="00224984" w:rsidP="0022498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rPr>
            </w:pPr>
            <w:r w:rsidRPr="00224984">
              <w:rPr>
                <w:rFonts w:asciiTheme="majorHAnsi" w:eastAsia="Times New Roman" w:hAnsiTheme="majorHAnsi" w:cstheme="majorHAnsi"/>
                <w:b/>
                <w:bCs/>
                <w:color w:val="000000"/>
              </w:rPr>
              <w:t>Critical</w:t>
            </w:r>
          </w:p>
        </w:tc>
        <w:tc>
          <w:tcPr>
            <w:tcW w:w="3865" w:type="dxa"/>
            <w:noWrap/>
            <w:hideMark/>
          </w:tcPr>
          <w:p w14:paraId="2E22CD71" w14:textId="77777777" w:rsidR="00224984" w:rsidRPr="00224984" w:rsidRDefault="00224984" w:rsidP="0022498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The procedure lists phases like Design Input, Output, Verification, etc., but does not integrate risk identification or mitigation activities per phase.</w:t>
            </w:r>
          </w:p>
        </w:tc>
        <w:tc>
          <w:tcPr>
            <w:tcW w:w="3330" w:type="dxa"/>
            <w:noWrap/>
            <w:hideMark/>
          </w:tcPr>
          <w:p w14:paraId="08303A07" w14:textId="77777777" w:rsidR="00224984" w:rsidRPr="00224984" w:rsidRDefault="00224984" w:rsidP="0022498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 xml:space="preserve">Integrate ISO 14971 clauses 4.4 (Risk Management Plan) and 5.1–5.5 (Risk Analysis) across all design control phases. Each phase should document relevant risk assessment </w:t>
            </w:r>
            <w:proofErr w:type="gramStart"/>
            <w:r w:rsidRPr="00224984">
              <w:rPr>
                <w:rFonts w:asciiTheme="majorHAnsi" w:eastAsia="Times New Roman" w:hAnsiTheme="majorHAnsi" w:cstheme="majorHAnsi"/>
                <w:color w:val="000000"/>
              </w:rPr>
              <w:t>outputs</w:t>
            </w:r>
            <w:proofErr w:type="gramEnd"/>
            <w:r w:rsidRPr="00224984">
              <w:rPr>
                <w:rFonts w:asciiTheme="majorHAnsi" w:eastAsia="Times New Roman" w:hAnsiTheme="majorHAnsi" w:cstheme="majorHAnsi"/>
                <w:color w:val="000000"/>
              </w:rPr>
              <w:t xml:space="preserve"> in the DHF.</w:t>
            </w:r>
          </w:p>
        </w:tc>
        <w:tc>
          <w:tcPr>
            <w:tcW w:w="2155" w:type="dxa"/>
            <w:noWrap/>
            <w:hideMark/>
          </w:tcPr>
          <w:p w14:paraId="3D2EC714" w14:textId="650F3AA4" w:rsidR="00224984" w:rsidRPr="00224984" w:rsidRDefault="00224984" w:rsidP="0022498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ISO 14971:2019 §4.4, §5; 21 CFR 820.30(g)</w:t>
            </w:r>
            <w:r w:rsidR="00167E0F" w:rsidRPr="00F145DA">
              <w:rPr>
                <w:rFonts w:asciiTheme="majorHAnsi" w:eastAsia="Times New Roman" w:hAnsiTheme="majorHAnsi" w:cstheme="majorHAnsi"/>
                <w:color w:val="000000"/>
              </w:rPr>
              <w:t xml:space="preserve"> </w:t>
            </w:r>
            <w:r w:rsidRPr="00224984">
              <w:rPr>
                <w:rFonts w:asciiTheme="majorHAnsi" w:eastAsia="Times New Roman" w:hAnsiTheme="majorHAnsi" w:cstheme="majorHAnsi"/>
                <w:color w:val="000000"/>
              </w:rPr>
              <w:t>SOP-0036 Design Control</w:t>
            </w:r>
          </w:p>
        </w:tc>
      </w:tr>
      <w:tr w:rsidR="008B1862" w:rsidRPr="00F145DA" w14:paraId="44161A67" w14:textId="77777777" w:rsidTr="00F145DA">
        <w:trPr>
          <w:trHeight w:val="300"/>
        </w:trPr>
        <w:tc>
          <w:tcPr>
            <w:cnfStyle w:val="001000000000" w:firstRow="0" w:lastRow="0" w:firstColumn="1" w:lastColumn="0" w:oddVBand="0" w:evenVBand="0" w:oddHBand="0" w:evenHBand="0" w:firstRowFirstColumn="0" w:firstRowLastColumn="0" w:lastRowFirstColumn="0" w:lastRowLastColumn="0"/>
            <w:tcW w:w="2245" w:type="dxa"/>
            <w:noWrap/>
          </w:tcPr>
          <w:p w14:paraId="4F162539" w14:textId="62D6E086" w:rsidR="008B1862" w:rsidRPr="00224984" w:rsidRDefault="00FC4913" w:rsidP="00224984">
            <w:pPr>
              <w:rPr>
                <w:rFonts w:asciiTheme="majorHAnsi" w:eastAsia="Times New Roman" w:hAnsiTheme="majorHAnsi" w:cstheme="majorHAnsi"/>
                <w:color w:val="000000"/>
              </w:rPr>
            </w:pPr>
            <w:r>
              <w:rPr>
                <w:rFonts w:asciiTheme="majorHAnsi" w:eastAsia="Times New Roman" w:hAnsiTheme="majorHAnsi" w:cstheme="majorHAnsi"/>
                <w:color w:val="000000"/>
              </w:rPr>
              <w:t xml:space="preserve">No clear requirement for a design freeze </w:t>
            </w:r>
            <w:proofErr w:type="gramStart"/>
            <w:r>
              <w:rPr>
                <w:rFonts w:asciiTheme="majorHAnsi" w:eastAsia="Times New Roman" w:hAnsiTheme="majorHAnsi" w:cstheme="majorHAnsi"/>
                <w:color w:val="000000"/>
              </w:rPr>
              <w:t>pre design</w:t>
            </w:r>
            <w:proofErr w:type="gramEnd"/>
            <w:r>
              <w:rPr>
                <w:rFonts w:asciiTheme="majorHAnsi" w:eastAsia="Times New Roman" w:hAnsiTheme="majorHAnsi" w:cstheme="majorHAnsi"/>
                <w:color w:val="000000"/>
              </w:rPr>
              <w:t xml:space="preserve"> verification testing or </w:t>
            </w:r>
            <w:r w:rsidR="00790D84">
              <w:rPr>
                <w:rFonts w:asciiTheme="majorHAnsi" w:eastAsia="Times New Roman" w:hAnsiTheme="majorHAnsi" w:cstheme="majorHAnsi"/>
                <w:color w:val="000000"/>
              </w:rPr>
              <w:lastRenderedPageBreak/>
              <w:t>requirement for change management post verifi</w:t>
            </w:r>
            <w:r w:rsidR="009A7BA7">
              <w:rPr>
                <w:rFonts w:asciiTheme="majorHAnsi" w:eastAsia="Times New Roman" w:hAnsiTheme="majorHAnsi" w:cstheme="majorHAnsi"/>
                <w:color w:val="000000"/>
              </w:rPr>
              <w:t>cation</w:t>
            </w:r>
          </w:p>
        </w:tc>
        <w:tc>
          <w:tcPr>
            <w:tcW w:w="1355" w:type="dxa"/>
            <w:noWrap/>
          </w:tcPr>
          <w:p w14:paraId="1F9ED39A" w14:textId="7C25A778" w:rsidR="008B1862" w:rsidRPr="00224984" w:rsidRDefault="009A7BA7" w:rsidP="0022498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rPr>
            </w:pPr>
            <w:r>
              <w:rPr>
                <w:rFonts w:asciiTheme="majorHAnsi" w:eastAsia="Times New Roman" w:hAnsiTheme="majorHAnsi" w:cstheme="majorHAnsi"/>
                <w:b/>
                <w:bCs/>
                <w:color w:val="000000"/>
              </w:rPr>
              <w:lastRenderedPageBreak/>
              <w:t>Moderate</w:t>
            </w:r>
          </w:p>
        </w:tc>
        <w:tc>
          <w:tcPr>
            <w:tcW w:w="3865" w:type="dxa"/>
            <w:noWrap/>
          </w:tcPr>
          <w:p w14:paraId="2B2870E5" w14:textId="4968EA06" w:rsidR="008B1862" w:rsidRPr="00224984" w:rsidRDefault="009A7BA7" w:rsidP="0022498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Pr>
                <w:rFonts w:asciiTheme="majorHAnsi" w:eastAsia="Times New Roman" w:hAnsiTheme="majorHAnsi" w:cstheme="majorHAnsi"/>
                <w:color w:val="000000"/>
              </w:rPr>
              <w:t xml:space="preserve">The procedure states that the intent of the verification phase is </w:t>
            </w:r>
            <w:r w:rsidR="00823C77">
              <w:rPr>
                <w:rFonts w:asciiTheme="majorHAnsi" w:eastAsia="Times New Roman" w:hAnsiTheme="majorHAnsi" w:cstheme="majorHAnsi"/>
                <w:color w:val="000000"/>
              </w:rPr>
              <w:t xml:space="preserve">to complete the design but is not explicit as to what this means.  </w:t>
            </w:r>
          </w:p>
        </w:tc>
        <w:tc>
          <w:tcPr>
            <w:tcW w:w="3330" w:type="dxa"/>
            <w:noWrap/>
          </w:tcPr>
          <w:p w14:paraId="497FD2A3" w14:textId="746067AC" w:rsidR="008B1862" w:rsidRPr="00224984" w:rsidRDefault="00823C77" w:rsidP="0022498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Pr>
                <w:rFonts w:asciiTheme="majorHAnsi" w:eastAsia="Times New Roman" w:hAnsiTheme="majorHAnsi" w:cstheme="majorHAnsi"/>
                <w:color w:val="000000"/>
              </w:rPr>
              <w:t>Provide direct require</w:t>
            </w:r>
            <w:r w:rsidR="005E2EA2">
              <w:rPr>
                <w:rFonts w:asciiTheme="majorHAnsi" w:eastAsia="Times New Roman" w:hAnsiTheme="majorHAnsi" w:cstheme="majorHAnsi"/>
                <w:color w:val="000000"/>
              </w:rPr>
              <w:t xml:space="preserve">ments for no design changes pre-verification with a design review prior to verification start and </w:t>
            </w:r>
            <w:r w:rsidR="005E2EA2">
              <w:rPr>
                <w:rFonts w:asciiTheme="majorHAnsi" w:eastAsia="Times New Roman" w:hAnsiTheme="majorHAnsi" w:cstheme="majorHAnsi"/>
                <w:color w:val="000000"/>
              </w:rPr>
              <w:lastRenderedPageBreak/>
              <w:t>change management required after design freeze.</w:t>
            </w:r>
          </w:p>
        </w:tc>
        <w:tc>
          <w:tcPr>
            <w:tcW w:w="2155" w:type="dxa"/>
            <w:noWrap/>
          </w:tcPr>
          <w:p w14:paraId="47C0A210" w14:textId="08D1DE52" w:rsidR="008B1862" w:rsidRPr="00224984" w:rsidRDefault="005E2EA2" w:rsidP="0022498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Pr>
                <w:rFonts w:asciiTheme="majorHAnsi" w:eastAsia="Times New Roman" w:hAnsiTheme="majorHAnsi" w:cstheme="majorHAnsi"/>
                <w:color w:val="000000"/>
              </w:rPr>
              <w:lastRenderedPageBreak/>
              <w:t xml:space="preserve">21 CFR </w:t>
            </w:r>
            <w:r w:rsidR="00321A7B">
              <w:rPr>
                <w:rFonts w:asciiTheme="majorHAnsi" w:eastAsia="Times New Roman" w:hAnsiTheme="majorHAnsi" w:cstheme="majorHAnsi"/>
                <w:color w:val="000000"/>
              </w:rPr>
              <w:t>820.30</w:t>
            </w:r>
            <w:r w:rsidR="00307B01">
              <w:rPr>
                <w:rFonts w:asciiTheme="majorHAnsi" w:eastAsia="Times New Roman" w:hAnsiTheme="majorHAnsi" w:cstheme="majorHAnsi"/>
                <w:color w:val="000000"/>
              </w:rPr>
              <w:t xml:space="preserve"> ISO 13485:2016</w:t>
            </w:r>
            <w:r w:rsidR="00DF2BCE">
              <w:rPr>
                <w:rFonts w:asciiTheme="majorHAnsi" w:eastAsia="Times New Roman" w:hAnsiTheme="majorHAnsi" w:cstheme="majorHAnsi"/>
                <w:color w:val="000000"/>
              </w:rPr>
              <w:t xml:space="preserve"> </w:t>
            </w:r>
            <w:r w:rsidR="00DF2BCE" w:rsidRPr="00224984">
              <w:rPr>
                <w:rFonts w:asciiTheme="majorHAnsi" w:eastAsia="Times New Roman" w:hAnsiTheme="majorHAnsi" w:cstheme="majorHAnsi"/>
                <w:color w:val="000000"/>
              </w:rPr>
              <w:t>§</w:t>
            </w:r>
            <w:r w:rsidR="00DF2BCE">
              <w:rPr>
                <w:rFonts w:asciiTheme="majorHAnsi" w:eastAsia="Times New Roman" w:hAnsiTheme="majorHAnsi" w:cstheme="majorHAnsi"/>
                <w:color w:val="000000"/>
              </w:rPr>
              <w:t>7.3</w:t>
            </w:r>
          </w:p>
        </w:tc>
      </w:tr>
      <w:tr w:rsidR="00AF6585" w:rsidRPr="00F145DA" w14:paraId="5226540B" w14:textId="77777777" w:rsidTr="00F145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5737BFC3" w14:textId="77777777" w:rsidR="00224984" w:rsidRPr="00224984" w:rsidRDefault="00224984" w:rsidP="00224984">
            <w:pPr>
              <w:rPr>
                <w:rFonts w:asciiTheme="majorHAnsi" w:eastAsia="Times New Roman" w:hAnsiTheme="majorHAnsi" w:cstheme="majorHAnsi"/>
                <w:color w:val="000000"/>
              </w:rPr>
            </w:pPr>
            <w:r w:rsidRPr="00224984">
              <w:rPr>
                <w:rFonts w:asciiTheme="majorHAnsi" w:eastAsia="Times New Roman" w:hAnsiTheme="majorHAnsi" w:cstheme="majorHAnsi"/>
                <w:color w:val="000000"/>
              </w:rPr>
              <w:t>No reference to evaluation of risk control effectiveness during or after design validation.</w:t>
            </w:r>
          </w:p>
        </w:tc>
        <w:tc>
          <w:tcPr>
            <w:tcW w:w="1355" w:type="dxa"/>
            <w:noWrap/>
            <w:hideMark/>
          </w:tcPr>
          <w:p w14:paraId="10C48019" w14:textId="77777777" w:rsidR="00224984" w:rsidRPr="00224984" w:rsidRDefault="00224984" w:rsidP="0022498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rPr>
            </w:pPr>
            <w:r w:rsidRPr="00224984">
              <w:rPr>
                <w:rFonts w:asciiTheme="majorHAnsi" w:eastAsia="Times New Roman" w:hAnsiTheme="majorHAnsi" w:cstheme="majorHAnsi"/>
                <w:b/>
                <w:bCs/>
                <w:color w:val="000000"/>
              </w:rPr>
              <w:t>Critical</w:t>
            </w:r>
          </w:p>
        </w:tc>
        <w:tc>
          <w:tcPr>
            <w:tcW w:w="3865" w:type="dxa"/>
            <w:noWrap/>
            <w:hideMark/>
          </w:tcPr>
          <w:p w14:paraId="5D72F3E8" w14:textId="77777777" w:rsidR="00224984" w:rsidRPr="00224984" w:rsidRDefault="00224984" w:rsidP="0022498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Design validation is described, but there is no mention of ensuring that risk controls implemented during design are effective.</w:t>
            </w:r>
          </w:p>
        </w:tc>
        <w:tc>
          <w:tcPr>
            <w:tcW w:w="3330" w:type="dxa"/>
            <w:noWrap/>
            <w:hideMark/>
          </w:tcPr>
          <w:p w14:paraId="1E03E74C" w14:textId="77777777" w:rsidR="00224984" w:rsidRPr="00224984" w:rsidRDefault="00224984" w:rsidP="0022498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 xml:space="preserve">Add explicit </w:t>
            </w:r>
            <w:proofErr w:type="gramStart"/>
            <w:r w:rsidRPr="00224984">
              <w:rPr>
                <w:rFonts w:asciiTheme="majorHAnsi" w:eastAsia="Times New Roman" w:hAnsiTheme="majorHAnsi" w:cstheme="majorHAnsi"/>
                <w:color w:val="000000"/>
              </w:rPr>
              <w:t>requirement</w:t>
            </w:r>
            <w:proofErr w:type="gramEnd"/>
            <w:r w:rsidRPr="00224984">
              <w:rPr>
                <w:rFonts w:asciiTheme="majorHAnsi" w:eastAsia="Times New Roman" w:hAnsiTheme="majorHAnsi" w:cstheme="majorHAnsi"/>
                <w:color w:val="000000"/>
              </w:rPr>
              <w:t xml:space="preserve"> to evaluate and document the effectiveness of risk controls during design validation activities.</w:t>
            </w:r>
          </w:p>
        </w:tc>
        <w:tc>
          <w:tcPr>
            <w:tcW w:w="2155" w:type="dxa"/>
            <w:noWrap/>
            <w:hideMark/>
          </w:tcPr>
          <w:p w14:paraId="16CD0430" w14:textId="676321A4" w:rsidR="00224984" w:rsidRPr="00224984" w:rsidRDefault="00224984" w:rsidP="0022498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ISO 14971:2019 §7.2, §7.6; 21 CFR 820.30(g)</w:t>
            </w:r>
          </w:p>
        </w:tc>
      </w:tr>
      <w:tr w:rsidR="00041C94" w:rsidRPr="00F145DA" w14:paraId="431D0D22" w14:textId="77777777" w:rsidTr="00F145DA">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23730317" w14:textId="77777777" w:rsidR="00224984" w:rsidRPr="00224984" w:rsidRDefault="00224984" w:rsidP="00224984">
            <w:pPr>
              <w:rPr>
                <w:rFonts w:asciiTheme="majorHAnsi" w:eastAsia="Times New Roman" w:hAnsiTheme="majorHAnsi" w:cstheme="majorHAnsi"/>
                <w:color w:val="000000"/>
              </w:rPr>
            </w:pPr>
            <w:r w:rsidRPr="00224984">
              <w:rPr>
                <w:rFonts w:asciiTheme="majorHAnsi" w:eastAsia="Times New Roman" w:hAnsiTheme="majorHAnsi" w:cstheme="majorHAnsi"/>
                <w:color w:val="000000"/>
              </w:rPr>
              <w:t>Limited consideration of combination product GMP alignment under 21 CFR Part 4.</w:t>
            </w:r>
          </w:p>
        </w:tc>
        <w:tc>
          <w:tcPr>
            <w:tcW w:w="1355" w:type="dxa"/>
            <w:noWrap/>
            <w:hideMark/>
          </w:tcPr>
          <w:p w14:paraId="0E4A3BB6" w14:textId="77777777" w:rsidR="00224984" w:rsidRPr="00224984" w:rsidRDefault="00224984" w:rsidP="0022498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rPr>
            </w:pPr>
            <w:r w:rsidRPr="00224984">
              <w:rPr>
                <w:rFonts w:asciiTheme="majorHAnsi" w:eastAsia="Times New Roman" w:hAnsiTheme="majorHAnsi" w:cstheme="majorHAnsi"/>
                <w:b/>
                <w:bCs/>
                <w:color w:val="000000"/>
              </w:rPr>
              <w:t>Moderate</w:t>
            </w:r>
          </w:p>
        </w:tc>
        <w:tc>
          <w:tcPr>
            <w:tcW w:w="3865" w:type="dxa"/>
            <w:noWrap/>
            <w:hideMark/>
          </w:tcPr>
          <w:p w14:paraId="50E16AFD" w14:textId="77777777" w:rsidR="00224984" w:rsidRPr="00224984" w:rsidRDefault="00224984" w:rsidP="0022498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While 21 CFR Part 4 is cited, the SOP does not demonstrate how constituent part CGMPs (21 CFR 210/211) are met for drug-device combinations.</w:t>
            </w:r>
          </w:p>
        </w:tc>
        <w:tc>
          <w:tcPr>
            <w:tcW w:w="3330" w:type="dxa"/>
            <w:noWrap/>
            <w:hideMark/>
          </w:tcPr>
          <w:p w14:paraId="72D25CC0" w14:textId="77777777" w:rsidR="00224984" w:rsidRPr="00224984" w:rsidRDefault="00224984" w:rsidP="0022498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Include a matrix or cross-reference table linking 21 CFR Part 820 requirements with 21 CFR Parts 210/211 for combination product development.</w:t>
            </w:r>
          </w:p>
        </w:tc>
        <w:tc>
          <w:tcPr>
            <w:tcW w:w="2155" w:type="dxa"/>
            <w:noWrap/>
            <w:hideMark/>
          </w:tcPr>
          <w:p w14:paraId="0B3D20B9" w14:textId="532F15A2" w:rsidR="00224984" w:rsidRPr="00224984" w:rsidRDefault="00224984" w:rsidP="0022498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21 CFR Part 4.4(b)(3)21 CFR Part 4 (up to date as of 4-11-2025)</w:t>
            </w:r>
          </w:p>
        </w:tc>
      </w:tr>
      <w:tr w:rsidR="00AF6585" w:rsidRPr="00F145DA" w14:paraId="1DEBCA0C" w14:textId="77777777" w:rsidTr="00F145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4C8DA678" w14:textId="77777777" w:rsidR="00224984" w:rsidRPr="00224984" w:rsidRDefault="00224984" w:rsidP="00224984">
            <w:pPr>
              <w:rPr>
                <w:rFonts w:asciiTheme="majorHAnsi" w:eastAsia="Times New Roman" w:hAnsiTheme="majorHAnsi" w:cstheme="majorHAnsi"/>
                <w:color w:val="000000"/>
              </w:rPr>
            </w:pPr>
            <w:r w:rsidRPr="00224984">
              <w:rPr>
                <w:rFonts w:asciiTheme="majorHAnsi" w:eastAsia="Times New Roman" w:hAnsiTheme="majorHAnsi" w:cstheme="majorHAnsi"/>
                <w:color w:val="000000"/>
              </w:rPr>
              <w:t>Design input requirements do not explicitly include usability/human factors analysis.</w:t>
            </w:r>
          </w:p>
        </w:tc>
        <w:tc>
          <w:tcPr>
            <w:tcW w:w="1355" w:type="dxa"/>
            <w:noWrap/>
            <w:hideMark/>
          </w:tcPr>
          <w:p w14:paraId="7138309E" w14:textId="77777777" w:rsidR="00224984" w:rsidRPr="00224984" w:rsidRDefault="00224984" w:rsidP="0022498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rPr>
            </w:pPr>
            <w:r w:rsidRPr="00224984">
              <w:rPr>
                <w:rFonts w:asciiTheme="majorHAnsi" w:eastAsia="Times New Roman" w:hAnsiTheme="majorHAnsi" w:cstheme="majorHAnsi"/>
                <w:b/>
                <w:bCs/>
                <w:color w:val="000000"/>
              </w:rPr>
              <w:t>Moderate</w:t>
            </w:r>
          </w:p>
        </w:tc>
        <w:tc>
          <w:tcPr>
            <w:tcW w:w="3865" w:type="dxa"/>
            <w:noWrap/>
            <w:hideMark/>
          </w:tcPr>
          <w:p w14:paraId="13AE143D" w14:textId="0128EF49" w:rsidR="00224984" w:rsidRPr="00224984" w:rsidRDefault="00224984" w:rsidP="0022498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Design inputs are defined as physical and performance requirements, but there is no mention of incorporating user interface safety or usability requirements</w:t>
            </w:r>
            <w:r w:rsidR="00782A24">
              <w:rPr>
                <w:rFonts w:asciiTheme="majorHAnsi" w:eastAsia="Times New Roman" w:hAnsiTheme="majorHAnsi" w:cstheme="majorHAnsi"/>
                <w:color w:val="000000"/>
              </w:rPr>
              <w:t xml:space="preserve"> (</w:t>
            </w:r>
            <w:proofErr w:type="spellStart"/>
            <w:r w:rsidR="00782A24">
              <w:rPr>
                <w:rFonts w:asciiTheme="majorHAnsi" w:eastAsia="Times New Roman" w:hAnsiTheme="majorHAnsi" w:cstheme="majorHAnsi"/>
                <w:color w:val="000000"/>
              </w:rPr>
              <w:t>uFMEA</w:t>
            </w:r>
            <w:proofErr w:type="spellEnd"/>
            <w:r w:rsidR="00782A24">
              <w:rPr>
                <w:rFonts w:asciiTheme="majorHAnsi" w:eastAsia="Times New Roman" w:hAnsiTheme="majorHAnsi" w:cstheme="majorHAnsi"/>
                <w:color w:val="000000"/>
              </w:rPr>
              <w:t xml:space="preserve"> or Task Analysis)</w:t>
            </w:r>
            <w:r w:rsidRPr="00224984">
              <w:rPr>
                <w:rFonts w:asciiTheme="majorHAnsi" w:eastAsia="Times New Roman" w:hAnsiTheme="majorHAnsi" w:cstheme="majorHAnsi"/>
                <w:color w:val="000000"/>
              </w:rPr>
              <w:t>.</w:t>
            </w:r>
          </w:p>
        </w:tc>
        <w:tc>
          <w:tcPr>
            <w:tcW w:w="3330" w:type="dxa"/>
            <w:noWrap/>
            <w:hideMark/>
          </w:tcPr>
          <w:p w14:paraId="184B1EEF" w14:textId="77777777" w:rsidR="00224984" w:rsidRPr="00224984" w:rsidRDefault="00224984" w:rsidP="0022498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Revise the definition of Design Inputs to include usability/human factors requirements, in line with FDA guidance and IEC 62366-1.</w:t>
            </w:r>
          </w:p>
        </w:tc>
        <w:tc>
          <w:tcPr>
            <w:tcW w:w="2155" w:type="dxa"/>
            <w:noWrap/>
            <w:hideMark/>
          </w:tcPr>
          <w:p w14:paraId="14EE8833" w14:textId="11FB68C7" w:rsidR="00224984" w:rsidRPr="00224984" w:rsidRDefault="00224984" w:rsidP="0022498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21 CFR 820.30(c); ISO 13485 §7.3.3; FDA Human Factors Guidance (2016)</w:t>
            </w:r>
            <w:r w:rsidR="00782A24">
              <w:rPr>
                <w:rFonts w:asciiTheme="majorHAnsi" w:eastAsia="Times New Roman" w:hAnsiTheme="majorHAnsi" w:cstheme="majorHAnsi"/>
                <w:color w:val="000000"/>
              </w:rPr>
              <w:t xml:space="preserve"> </w:t>
            </w:r>
            <w:r w:rsidRPr="00224984">
              <w:rPr>
                <w:rFonts w:asciiTheme="majorHAnsi" w:eastAsia="Times New Roman" w:hAnsiTheme="majorHAnsi" w:cstheme="majorHAnsi"/>
                <w:color w:val="000000"/>
              </w:rPr>
              <w:t>SOP-0036 Design Control</w:t>
            </w:r>
          </w:p>
        </w:tc>
      </w:tr>
      <w:tr w:rsidR="00041C94" w:rsidRPr="00F145DA" w14:paraId="20877D52" w14:textId="77777777" w:rsidTr="00F145DA">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79B2E6B4" w14:textId="77777777" w:rsidR="00224984" w:rsidRPr="00224984" w:rsidRDefault="00224984" w:rsidP="00224984">
            <w:pPr>
              <w:rPr>
                <w:rFonts w:asciiTheme="majorHAnsi" w:eastAsia="Times New Roman" w:hAnsiTheme="majorHAnsi" w:cstheme="majorHAnsi"/>
                <w:color w:val="000000"/>
              </w:rPr>
            </w:pPr>
            <w:r w:rsidRPr="00224984">
              <w:rPr>
                <w:rFonts w:asciiTheme="majorHAnsi" w:eastAsia="Times New Roman" w:hAnsiTheme="majorHAnsi" w:cstheme="majorHAnsi"/>
                <w:color w:val="000000"/>
              </w:rPr>
              <w:t>Lack of documented linkage from design inputs to outputs and verification via traceability matrix.</w:t>
            </w:r>
          </w:p>
        </w:tc>
        <w:tc>
          <w:tcPr>
            <w:tcW w:w="1355" w:type="dxa"/>
            <w:noWrap/>
            <w:hideMark/>
          </w:tcPr>
          <w:p w14:paraId="5F497802" w14:textId="77777777" w:rsidR="00224984" w:rsidRPr="00224984" w:rsidRDefault="00224984" w:rsidP="0022498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rPr>
            </w:pPr>
            <w:r w:rsidRPr="00224984">
              <w:rPr>
                <w:rFonts w:asciiTheme="majorHAnsi" w:eastAsia="Times New Roman" w:hAnsiTheme="majorHAnsi" w:cstheme="majorHAnsi"/>
                <w:b/>
                <w:bCs/>
                <w:color w:val="000000"/>
              </w:rPr>
              <w:t>Moderate</w:t>
            </w:r>
          </w:p>
        </w:tc>
        <w:tc>
          <w:tcPr>
            <w:tcW w:w="3865" w:type="dxa"/>
            <w:noWrap/>
            <w:hideMark/>
          </w:tcPr>
          <w:p w14:paraId="208DBEDE" w14:textId="4375D439" w:rsidR="00224984" w:rsidRPr="00224984" w:rsidRDefault="00224984" w:rsidP="0022498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No procedure requirement or description of how traceability from inputs to outputs and verification is maintained.</w:t>
            </w:r>
            <w:r w:rsidR="005F6FC2">
              <w:rPr>
                <w:rFonts w:asciiTheme="majorHAnsi" w:eastAsia="Times New Roman" w:hAnsiTheme="majorHAnsi" w:cstheme="majorHAnsi"/>
                <w:color w:val="000000"/>
              </w:rPr>
              <w:t xml:space="preserve">  Only reference to a trace matrix document.</w:t>
            </w:r>
          </w:p>
        </w:tc>
        <w:tc>
          <w:tcPr>
            <w:tcW w:w="3330" w:type="dxa"/>
            <w:noWrap/>
            <w:hideMark/>
          </w:tcPr>
          <w:p w14:paraId="78E011D4" w14:textId="77777777" w:rsidR="00224984" w:rsidRPr="00224984" w:rsidRDefault="00224984" w:rsidP="0022498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Add requirement to generate and maintain a traceability matrix mapping design inputs to outputs and verification methods.</w:t>
            </w:r>
          </w:p>
        </w:tc>
        <w:tc>
          <w:tcPr>
            <w:tcW w:w="2155" w:type="dxa"/>
            <w:noWrap/>
            <w:hideMark/>
          </w:tcPr>
          <w:p w14:paraId="4718E149" w14:textId="5FC0B277" w:rsidR="00224984" w:rsidRPr="00224984" w:rsidRDefault="00224984" w:rsidP="0022498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21 CFR 820.30(f); ISO 13485 §7.3.6</w:t>
            </w:r>
            <w:r w:rsidR="00167E0F" w:rsidRPr="00F145DA">
              <w:rPr>
                <w:rFonts w:asciiTheme="majorHAnsi" w:eastAsia="Times New Roman" w:hAnsiTheme="majorHAnsi" w:cstheme="majorHAnsi"/>
                <w:color w:val="000000"/>
              </w:rPr>
              <w:t xml:space="preserve"> </w:t>
            </w:r>
            <w:r w:rsidRPr="00224984">
              <w:rPr>
                <w:rFonts w:asciiTheme="majorHAnsi" w:eastAsia="Times New Roman" w:hAnsiTheme="majorHAnsi" w:cstheme="majorHAnsi"/>
                <w:color w:val="000000"/>
              </w:rPr>
              <w:t>SOP-0036 Design Control</w:t>
            </w:r>
          </w:p>
        </w:tc>
      </w:tr>
      <w:tr w:rsidR="00AF6585" w:rsidRPr="00F145DA" w14:paraId="09864ADB" w14:textId="77777777" w:rsidTr="00F145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08DF776D" w14:textId="77777777" w:rsidR="00224984" w:rsidRPr="00224984" w:rsidRDefault="00224984" w:rsidP="00224984">
            <w:pPr>
              <w:rPr>
                <w:rFonts w:asciiTheme="majorHAnsi" w:eastAsia="Times New Roman" w:hAnsiTheme="majorHAnsi" w:cstheme="majorHAnsi"/>
                <w:color w:val="000000"/>
              </w:rPr>
            </w:pPr>
            <w:r w:rsidRPr="00224984">
              <w:rPr>
                <w:rFonts w:asciiTheme="majorHAnsi" w:eastAsia="Times New Roman" w:hAnsiTheme="majorHAnsi" w:cstheme="majorHAnsi"/>
                <w:color w:val="000000"/>
              </w:rPr>
              <w:t xml:space="preserve">Design transfer responsibilities and </w:t>
            </w:r>
            <w:r w:rsidRPr="00224984">
              <w:rPr>
                <w:rFonts w:asciiTheme="majorHAnsi" w:eastAsia="Times New Roman" w:hAnsiTheme="majorHAnsi" w:cstheme="majorHAnsi"/>
                <w:color w:val="000000"/>
              </w:rPr>
              <w:lastRenderedPageBreak/>
              <w:t>criteria are insufficiently defined.</w:t>
            </w:r>
          </w:p>
        </w:tc>
        <w:tc>
          <w:tcPr>
            <w:tcW w:w="1355" w:type="dxa"/>
            <w:noWrap/>
            <w:hideMark/>
          </w:tcPr>
          <w:p w14:paraId="7FF552C1" w14:textId="77777777" w:rsidR="00224984" w:rsidRPr="00224984" w:rsidRDefault="00224984" w:rsidP="0022498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rPr>
            </w:pPr>
            <w:r w:rsidRPr="00224984">
              <w:rPr>
                <w:rFonts w:asciiTheme="majorHAnsi" w:eastAsia="Times New Roman" w:hAnsiTheme="majorHAnsi" w:cstheme="majorHAnsi"/>
                <w:b/>
                <w:bCs/>
                <w:color w:val="000000"/>
              </w:rPr>
              <w:lastRenderedPageBreak/>
              <w:t>Minor</w:t>
            </w:r>
          </w:p>
        </w:tc>
        <w:tc>
          <w:tcPr>
            <w:tcW w:w="3865" w:type="dxa"/>
            <w:noWrap/>
            <w:hideMark/>
          </w:tcPr>
          <w:p w14:paraId="0174C53B" w14:textId="77777777" w:rsidR="00224984" w:rsidRPr="00224984" w:rsidRDefault="00224984" w:rsidP="0022498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 xml:space="preserve">Design Transfer is mentioned but lacks detail on deliverables, criteria, </w:t>
            </w:r>
            <w:r w:rsidRPr="00224984">
              <w:rPr>
                <w:rFonts w:asciiTheme="majorHAnsi" w:eastAsia="Times New Roman" w:hAnsiTheme="majorHAnsi" w:cstheme="majorHAnsi"/>
                <w:color w:val="000000"/>
              </w:rPr>
              <w:lastRenderedPageBreak/>
              <w:t>or personnel accountable for approving the transfer.</w:t>
            </w:r>
          </w:p>
        </w:tc>
        <w:tc>
          <w:tcPr>
            <w:tcW w:w="3330" w:type="dxa"/>
            <w:noWrap/>
            <w:hideMark/>
          </w:tcPr>
          <w:p w14:paraId="77BF1982" w14:textId="77777777" w:rsidR="00224984" w:rsidRPr="00224984" w:rsidRDefault="00224984" w:rsidP="0022498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lastRenderedPageBreak/>
              <w:t xml:space="preserve">Expand the Design Transfer section to define deliverables, </w:t>
            </w:r>
            <w:r w:rsidRPr="00224984">
              <w:rPr>
                <w:rFonts w:asciiTheme="majorHAnsi" w:eastAsia="Times New Roman" w:hAnsiTheme="majorHAnsi" w:cstheme="majorHAnsi"/>
                <w:color w:val="000000"/>
              </w:rPr>
              <w:lastRenderedPageBreak/>
              <w:t>responsible roles, acceptance criteria, and approval processes.</w:t>
            </w:r>
          </w:p>
        </w:tc>
        <w:tc>
          <w:tcPr>
            <w:tcW w:w="2155" w:type="dxa"/>
            <w:noWrap/>
            <w:hideMark/>
          </w:tcPr>
          <w:p w14:paraId="79428F74" w14:textId="4F497D5B" w:rsidR="00224984" w:rsidRPr="00224984" w:rsidRDefault="00224984" w:rsidP="0022498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lastRenderedPageBreak/>
              <w:t>21 CFR 820.30(h); ISO 13485 §7.3.8</w:t>
            </w:r>
            <w:r w:rsidR="00E30042" w:rsidRPr="00F145DA">
              <w:rPr>
                <w:rFonts w:asciiTheme="majorHAnsi" w:eastAsia="MS Gothic" w:hAnsiTheme="majorHAnsi" w:cstheme="majorHAnsi"/>
                <w:color w:val="000000"/>
              </w:rPr>
              <w:t xml:space="preserve"> </w:t>
            </w:r>
            <w:r w:rsidRPr="00224984">
              <w:rPr>
                <w:rFonts w:asciiTheme="majorHAnsi" w:eastAsia="Times New Roman" w:hAnsiTheme="majorHAnsi" w:cstheme="majorHAnsi"/>
                <w:color w:val="000000"/>
              </w:rPr>
              <w:lastRenderedPageBreak/>
              <w:t>SOP-0036 Design Control</w:t>
            </w:r>
          </w:p>
        </w:tc>
      </w:tr>
      <w:tr w:rsidR="00041C94" w:rsidRPr="00F145DA" w14:paraId="35A6AB9A" w14:textId="77777777" w:rsidTr="00F145DA">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7FF274D1" w14:textId="77777777" w:rsidR="00224984" w:rsidRPr="00224984" w:rsidRDefault="00224984" w:rsidP="00224984">
            <w:pPr>
              <w:rPr>
                <w:rFonts w:asciiTheme="majorHAnsi" w:eastAsia="Times New Roman" w:hAnsiTheme="majorHAnsi" w:cstheme="majorHAnsi"/>
                <w:color w:val="000000"/>
              </w:rPr>
            </w:pPr>
            <w:r w:rsidRPr="00224984">
              <w:rPr>
                <w:rFonts w:asciiTheme="majorHAnsi" w:eastAsia="Times New Roman" w:hAnsiTheme="majorHAnsi" w:cstheme="majorHAnsi"/>
                <w:color w:val="000000"/>
              </w:rPr>
              <w:lastRenderedPageBreak/>
              <w:t>Design review team composition and independence not defined.</w:t>
            </w:r>
          </w:p>
        </w:tc>
        <w:tc>
          <w:tcPr>
            <w:tcW w:w="1355" w:type="dxa"/>
            <w:noWrap/>
            <w:hideMark/>
          </w:tcPr>
          <w:p w14:paraId="13787E26" w14:textId="77777777" w:rsidR="00224984" w:rsidRPr="00224984" w:rsidRDefault="00224984" w:rsidP="0022498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rPr>
            </w:pPr>
            <w:r w:rsidRPr="00224984">
              <w:rPr>
                <w:rFonts w:asciiTheme="majorHAnsi" w:eastAsia="Times New Roman" w:hAnsiTheme="majorHAnsi" w:cstheme="majorHAnsi"/>
                <w:b/>
                <w:bCs/>
                <w:color w:val="000000"/>
              </w:rPr>
              <w:t>Minor</w:t>
            </w:r>
          </w:p>
        </w:tc>
        <w:tc>
          <w:tcPr>
            <w:tcW w:w="3865" w:type="dxa"/>
            <w:noWrap/>
            <w:hideMark/>
          </w:tcPr>
          <w:p w14:paraId="108C33FA" w14:textId="77777777" w:rsidR="00224984" w:rsidRPr="00224984" w:rsidRDefault="00224984" w:rsidP="0022498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Design reviews are referenced but there is no requirement for an independent reviewer not directly involved in the design stage being reviewed.</w:t>
            </w:r>
          </w:p>
        </w:tc>
        <w:tc>
          <w:tcPr>
            <w:tcW w:w="3330" w:type="dxa"/>
            <w:noWrap/>
            <w:hideMark/>
          </w:tcPr>
          <w:p w14:paraId="6DB2ABD3" w14:textId="77777777" w:rsidR="00224984" w:rsidRPr="00224984" w:rsidRDefault="00224984" w:rsidP="0022498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Include requirement that each design review team must contain at least one independent reviewer in accordance with 820.30(e).</w:t>
            </w:r>
          </w:p>
        </w:tc>
        <w:tc>
          <w:tcPr>
            <w:tcW w:w="2155" w:type="dxa"/>
            <w:noWrap/>
            <w:hideMark/>
          </w:tcPr>
          <w:p w14:paraId="7A76ABB8" w14:textId="4F5BFAE8" w:rsidR="00224984" w:rsidRPr="00224984" w:rsidRDefault="00224984" w:rsidP="0022498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21 CFR 820.30(e); ISO 13485 §7.3.5</w:t>
            </w:r>
            <w:r w:rsidR="00E30042" w:rsidRPr="00F145DA">
              <w:rPr>
                <w:rFonts w:asciiTheme="majorHAnsi" w:eastAsia="Times New Roman" w:hAnsiTheme="majorHAnsi" w:cstheme="majorHAnsi"/>
                <w:color w:val="000000"/>
              </w:rPr>
              <w:t xml:space="preserve"> </w:t>
            </w:r>
            <w:r w:rsidRPr="00224984">
              <w:rPr>
                <w:rFonts w:asciiTheme="majorHAnsi" w:eastAsia="Times New Roman" w:hAnsiTheme="majorHAnsi" w:cstheme="majorHAnsi"/>
                <w:color w:val="000000"/>
              </w:rPr>
              <w:t>SOP-0036 Design Control</w:t>
            </w:r>
          </w:p>
        </w:tc>
      </w:tr>
      <w:tr w:rsidR="00AF6585" w:rsidRPr="00F145DA" w14:paraId="596DE10A" w14:textId="77777777" w:rsidTr="00F145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5612133A" w14:textId="77777777" w:rsidR="00224984" w:rsidRPr="00224984" w:rsidRDefault="00224984" w:rsidP="00224984">
            <w:pPr>
              <w:rPr>
                <w:rFonts w:asciiTheme="majorHAnsi" w:eastAsia="Times New Roman" w:hAnsiTheme="majorHAnsi" w:cstheme="majorHAnsi"/>
                <w:color w:val="000000"/>
              </w:rPr>
            </w:pPr>
            <w:r w:rsidRPr="00224984">
              <w:rPr>
                <w:rFonts w:asciiTheme="majorHAnsi" w:eastAsia="Times New Roman" w:hAnsiTheme="majorHAnsi" w:cstheme="majorHAnsi"/>
                <w:color w:val="000000"/>
              </w:rPr>
              <w:t>Document does not specify retention policy for Design History File (DHF).</w:t>
            </w:r>
          </w:p>
        </w:tc>
        <w:tc>
          <w:tcPr>
            <w:tcW w:w="1355" w:type="dxa"/>
            <w:noWrap/>
            <w:hideMark/>
          </w:tcPr>
          <w:p w14:paraId="0E788193" w14:textId="77777777" w:rsidR="00224984" w:rsidRPr="00224984" w:rsidRDefault="00224984" w:rsidP="0022498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rPr>
            </w:pPr>
            <w:r w:rsidRPr="00224984">
              <w:rPr>
                <w:rFonts w:asciiTheme="majorHAnsi" w:eastAsia="Times New Roman" w:hAnsiTheme="majorHAnsi" w:cstheme="majorHAnsi"/>
                <w:b/>
                <w:bCs/>
                <w:color w:val="000000"/>
              </w:rPr>
              <w:t>Minor</w:t>
            </w:r>
          </w:p>
        </w:tc>
        <w:tc>
          <w:tcPr>
            <w:tcW w:w="3865" w:type="dxa"/>
            <w:noWrap/>
            <w:hideMark/>
          </w:tcPr>
          <w:p w14:paraId="400F8E4A" w14:textId="77777777" w:rsidR="00224984" w:rsidRPr="00224984" w:rsidRDefault="00224984" w:rsidP="0022498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The DHF is mentioned as a compilation of design records, but no retention timeline or reference to record control procedure is given.</w:t>
            </w:r>
          </w:p>
        </w:tc>
        <w:tc>
          <w:tcPr>
            <w:tcW w:w="3330" w:type="dxa"/>
            <w:noWrap/>
            <w:hideMark/>
          </w:tcPr>
          <w:p w14:paraId="2FD274F7" w14:textId="77777777" w:rsidR="00224984" w:rsidRPr="00224984" w:rsidRDefault="00224984" w:rsidP="0022498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Add reference to document control or records retention procedure to clarify the duration and responsibility for DHF maintenance.</w:t>
            </w:r>
          </w:p>
        </w:tc>
        <w:tc>
          <w:tcPr>
            <w:tcW w:w="2155" w:type="dxa"/>
            <w:noWrap/>
            <w:hideMark/>
          </w:tcPr>
          <w:p w14:paraId="37DDF788" w14:textId="51D376DB" w:rsidR="00224984" w:rsidRPr="00224984" w:rsidRDefault="00224984" w:rsidP="0022498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224984">
              <w:rPr>
                <w:rFonts w:asciiTheme="majorHAnsi" w:eastAsia="Times New Roman" w:hAnsiTheme="majorHAnsi" w:cstheme="majorHAnsi"/>
                <w:color w:val="000000"/>
              </w:rPr>
              <w:t>21 CFR 820.30(j); ISO 13485 §4.2.5</w:t>
            </w:r>
            <w:r w:rsidR="00E30042" w:rsidRPr="00F145DA">
              <w:rPr>
                <w:rFonts w:asciiTheme="majorHAnsi" w:eastAsia="Times New Roman" w:hAnsiTheme="majorHAnsi" w:cstheme="majorHAnsi"/>
                <w:color w:val="000000"/>
              </w:rPr>
              <w:t xml:space="preserve"> </w:t>
            </w:r>
            <w:r w:rsidRPr="00224984">
              <w:rPr>
                <w:rFonts w:asciiTheme="majorHAnsi" w:eastAsia="Times New Roman" w:hAnsiTheme="majorHAnsi" w:cstheme="majorHAnsi"/>
                <w:color w:val="000000"/>
              </w:rPr>
              <w:t>SOP-0036 Design Control</w:t>
            </w:r>
          </w:p>
        </w:tc>
      </w:tr>
      <w:tr w:rsidR="00564AAB" w:rsidRPr="00F145DA" w14:paraId="07433BDB" w14:textId="77777777" w:rsidTr="00F145DA">
        <w:trPr>
          <w:trHeight w:val="300"/>
        </w:trPr>
        <w:tc>
          <w:tcPr>
            <w:cnfStyle w:val="001000000000" w:firstRow="0" w:lastRow="0" w:firstColumn="1" w:lastColumn="0" w:oddVBand="0" w:evenVBand="0" w:oddHBand="0" w:evenHBand="0" w:firstRowFirstColumn="0" w:firstRowLastColumn="0" w:lastRowFirstColumn="0" w:lastRowLastColumn="0"/>
            <w:tcW w:w="2245" w:type="dxa"/>
            <w:noWrap/>
          </w:tcPr>
          <w:p w14:paraId="544120B4" w14:textId="7F0ED9DC" w:rsidR="00564AAB" w:rsidRPr="00224984" w:rsidRDefault="00564AAB" w:rsidP="00224984">
            <w:pPr>
              <w:rPr>
                <w:rFonts w:asciiTheme="majorHAnsi" w:eastAsia="Times New Roman" w:hAnsiTheme="majorHAnsi" w:cstheme="majorHAnsi"/>
                <w:color w:val="000000"/>
              </w:rPr>
            </w:pPr>
            <w:r>
              <w:rPr>
                <w:rFonts w:asciiTheme="majorHAnsi" w:eastAsia="Times New Roman" w:hAnsiTheme="majorHAnsi" w:cstheme="majorHAnsi"/>
                <w:color w:val="000000"/>
              </w:rPr>
              <w:t>Design control process overview waterfall does not align with defined process</w:t>
            </w:r>
          </w:p>
        </w:tc>
        <w:tc>
          <w:tcPr>
            <w:tcW w:w="1355" w:type="dxa"/>
            <w:noWrap/>
          </w:tcPr>
          <w:p w14:paraId="61907C25" w14:textId="24FEF7AC" w:rsidR="00564AAB" w:rsidRPr="00224984" w:rsidRDefault="00564AAB" w:rsidP="0022498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rPr>
            </w:pPr>
            <w:r>
              <w:rPr>
                <w:rFonts w:asciiTheme="majorHAnsi" w:eastAsia="Times New Roman" w:hAnsiTheme="majorHAnsi" w:cstheme="majorHAnsi"/>
                <w:b/>
                <w:bCs/>
                <w:color w:val="000000"/>
              </w:rPr>
              <w:t>Minor</w:t>
            </w:r>
          </w:p>
        </w:tc>
        <w:tc>
          <w:tcPr>
            <w:tcW w:w="3865" w:type="dxa"/>
            <w:noWrap/>
          </w:tcPr>
          <w:p w14:paraId="7EF780B6" w14:textId="7D6B9974" w:rsidR="00564AAB" w:rsidRPr="00224984" w:rsidRDefault="000D2727" w:rsidP="0022498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Pr>
                <w:rFonts w:asciiTheme="majorHAnsi" w:eastAsia="Times New Roman" w:hAnsiTheme="majorHAnsi" w:cstheme="majorHAnsi"/>
                <w:color w:val="000000"/>
              </w:rPr>
              <w:t>Attachment</w:t>
            </w:r>
            <w:r w:rsidR="00074D5A">
              <w:rPr>
                <w:rFonts w:asciiTheme="majorHAnsi" w:eastAsia="Times New Roman" w:hAnsiTheme="majorHAnsi" w:cstheme="majorHAnsi"/>
                <w:color w:val="000000"/>
              </w:rPr>
              <w:t xml:space="preserve"> 1 notes the FDA Design Control </w:t>
            </w:r>
            <w:proofErr w:type="gramStart"/>
            <w:r w:rsidR="00074D5A">
              <w:rPr>
                <w:rFonts w:asciiTheme="majorHAnsi" w:eastAsia="Times New Roman" w:hAnsiTheme="majorHAnsi" w:cstheme="majorHAnsi"/>
                <w:color w:val="000000"/>
              </w:rPr>
              <w:t>Process,</w:t>
            </w:r>
            <w:proofErr w:type="gramEnd"/>
            <w:r w:rsidR="00074D5A">
              <w:rPr>
                <w:rFonts w:asciiTheme="majorHAnsi" w:eastAsia="Times New Roman" w:hAnsiTheme="majorHAnsi" w:cstheme="majorHAnsi"/>
                <w:color w:val="000000"/>
              </w:rPr>
              <w:t xml:space="preserve"> however, the phase content, titles, and review elements are different </w:t>
            </w:r>
            <w:r>
              <w:rPr>
                <w:rFonts w:asciiTheme="majorHAnsi" w:eastAsia="Times New Roman" w:hAnsiTheme="majorHAnsi" w:cstheme="majorHAnsi"/>
                <w:color w:val="000000"/>
              </w:rPr>
              <w:t>in the current process.</w:t>
            </w:r>
          </w:p>
        </w:tc>
        <w:tc>
          <w:tcPr>
            <w:tcW w:w="3330" w:type="dxa"/>
            <w:noWrap/>
          </w:tcPr>
          <w:p w14:paraId="7811CE2F" w14:textId="5764AF82" w:rsidR="00564AAB" w:rsidRPr="00224984" w:rsidRDefault="000D2727" w:rsidP="0022498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Pr>
                <w:rFonts w:asciiTheme="majorHAnsi" w:eastAsia="Times New Roman" w:hAnsiTheme="majorHAnsi" w:cstheme="majorHAnsi"/>
                <w:color w:val="000000"/>
              </w:rPr>
              <w:t xml:space="preserve">Clearly define each phase to align with the </w:t>
            </w:r>
            <w:r w:rsidR="000076F4">
              <w:rPr>
                <w:rFonts w:asciiTheme="majorHAnsi" w:eastAsia="Times New Roman" w:hAnsiTheme="majorHAnsi" w:cstheme="majorHAnsi"/>
                <w:color w:val="000000"/>
              </w:rPr>
              <w:t>waterfall design process using terms consistent with F</w:t>
            </w:r>
            <w:r w:rsidR="00916E61">
              <w:rPr>
                <w:rFonts w:asciiTheme="majorHAnsi" w:eastAsia="Times New Roman" w:hAnsiTheme="majorHAnsi" w:cstheme="majorHAnsi"/>
                <w:color w:val="000000"/>
              </w:rPr>
              <w:t>DA and EU expectations.</w:t>
            </w:r>
          </w:p>
        </w:tc>
        <w:tc>
          <w:tcPr>
            <w:tcW w:w="2155" w:type="dxa"/>
            <w:noWrap/>
          </w:tcPr>
          <w:p w14:paraId="5E1FDBE1" w14:textId="6DA62937" w:rsidR="00564AAB" w:rsidRPr="00224984" w:rsidRDefault="000076F4" w:rsidP="0022498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Pr>
                <w:rFonts w:asciiTheme="majorHAnsi" w:eastAsia="Times New Roman" w:hAnsiTheme="majorHAnsi" w:cstheme="majorHAnsi"/>
                <w:color w:val="000000"/>
              </w:rPr>
              <w:t>21 CFR 820, ISO 13485</w:t>
            </w:r>
          </w:p>
        </w:tc>
      </w:tr>
    </w:tbl>
    <w:p w14:paraId="614F3113" w14:textId="77777777" w:rsidR="0091060D" w:rsidRPr="004E2C59" w:rsidRDefault="0091060D" w:rsidP="0091060D">
      <w:pPr>
        <w:spacing w:before="100" w:beforeAutospacing="1" w:after="100" w:afterAutospacing="1"/>
        <w:outlineLvl w:val="1"/>
        <w:rPr>
          <w:rFonts w:asciiTheme="majorHAnsi" w:eastAsia="Times New Roman" w:hAnsiTheme="majorHAnsi" w:cstheme="majorHAnsi"/>
          <w:b/>
          <w:bCs/>
        </w:rPr>
      </w:pPr>
      <w:r w:rsidRPr="004E2C59">
        <w:rPr>
          <w:rFonts w:asciiTheme="majorHAnsi" w:eastAsia="Times New Roman" w:hAnsiTheme="majorHAnsi" w:cstheme="majorHAnsi"/>
          <w:b/>
          <w:bCs/>
        </w:rPr>
        <w:t>System-Level Observations</w:t>
      </w:r>
    </w:p>
    <w:tbl>
      <w:tblPr>
        <w:tblStyle w:val="GridTable2-Accent3"/>
        <w:tblW w:w="13320" w:type="dxa"/>
        <w:tblLook w:val="04A0" w:firstRow="1" w:lastRow="0" w:firstColumn="1" w:lastColumn="0" w:noHBand="0" w:noVBand="1"/>
      </w:tblPr>
      <w:tblGrid>
        <w:gridCol w:w="3148"/>
        <w:gridCol w:w="5222"/>
        <w:gridCol w:w="4950"/>
      </w:tblGrid>
      <w:tr w:rsidR="0091060D" w:rsidRPr="0091060D" w14:paraId="040EDA7F" w14:textId="77777777" w:rsidTr="0032534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8" w:type="dxa"/>
            <w:noWrap/>
            <w:hideMark/>
          </w:tcPr>
          <w:p w14:paraId="767822F3" w14:textId="77777777" w:rsidR="0091060D" w:rsidRPr="0091060D" w:rsidRDefault="0091060D" w:rsidP="0091060D">
            <w:pPr>
              <w:jc w:val="center"/>
              <w:rPr>
                <w:rFonts w:asciiTheme="majorHAnsi" w:eastAsia="Times New Roman" w:hAnsiTheme="majorHAnsi" w:cstheme="majorHAnsi"/>
                <w:color w:val="000000"/>
              </w:rPr>
            </w:pPr>
            <w:r w:rsidRPr="0091060D">
              <w:rPr>
                <w:rFonts w:asciiTheme="majorHAnsi" w:eastAsia="Times New Roman" w:hAnsiTheme="majorHAnsi" w:cstheme="majorHAnsi"/>
                <w:color w:val="000000"/>
              </w:rPr>
              <w:t>System-Level Concern</w:t>
            </w:r>
          </w:p>
        </w:tc>
        <w:tc>
          <w:tcPr>
            <w:tcW w:w="5222" w:type="dxa"/>
            <w:noWrap/>
            <w:hideMark/>
          </w:tcPr>
          <w:p w14:paraId="79E1B69D" w14:textId="77777777" w:rsidR="0091060D" w:rsidRPr="0091060D" w:rsidRDefault="0091060D" w:rsidP="0091060D">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91060D">
              <w:rPr>
                <w:rFonts w:asciiTheme="majorHAnsi" w:eastAsia="Times New Roman" w:hAnsiTheme="majorHAnsi" w:cstheme="majorHAnsi"/>
                <w:color w:val="000000"/>
              </w:rPr>
              <w:t>Implication</w:t>
            </w:r>
          </w:p>
        </w:tc>
        <w:tc>
          <w:tcPr>
            <w:tcW w:w="4950" w:type="dxa"/>
            <w:noWrap/>
            <w:hideMark/>
          </w:tcPr>
          <w:p w14:paraId="6327AC6E" w14:textId="77777777" w:rsidR="0091060D" w:rsidRPr="0091060D" w:rsidRDefault="0091060D" w:rsidP="0091060D">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91060D">
              <w:rPr>
                <w:rFonts w:asciiTheme="majorHAnsi" w:eastAsia="Times New Roman" w:hAnsiTheme="majorHAnsi" w:cstheme="majorHAnsi"/>
                <w:color w:val="000000"/>
              </w:rPr>
              <w:t>Recommended Action</w:t>
            </w:r>
          </w:p>
        </w:tc>
      </w:tr>
      <w:tr w:rsidR="0091060D" w:rsidRPr="0091060D" w14:paraId="3FD8A8DD" w14:textId="77777777" w:rsidTr="00325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8" w:type="dxa"/>
            <w:noWrap/>
            <w:hideMark/>
          </w:tcPr>
          <w:p w14:paraId="48E0E824" w14:textId="1CD9287F" w:rsidR="0091060D" w:rsidRPr="0091060D" w:rsidRDefault="0091060D" w:rsidP="0091060D">
            <w:pPr>
              <w:rPr>
                <w:rFonts w:asciiTheme="majorHAnsi" w:eastAsia="Times New Roman" w:hAnsiTheme="majorHAnsi" w:cstheme="majorHAnsi"/>
                <w:color w:val="000000"/>
              </w:rPr>
            </w:pPr>
            <w:r w:rsidRPr="0091060D">
              <w:rPr>
                <w:rFonts w:asciiTheme="majorHAnsi" w:eastAsia="Times New Roman" w:hAnsiTheme="majorHAnsi" w:cstheme="majorHAnsi"/>
                <w:color w:val="000000"/>
              </w:rPr>
              <w:t xml:space="preserve">Lack of consistent linkage to risk management in all design-related </w:t>
            </w:r>
            <w:r w:rsidR="00097EC4">
              <w:rPr>
                <w:rFonts w:asciiTheme="majorHAnsi" w:eastAsia="Times New Roman" w:hAnsiTheme="majorHAnsi" w:cstheme="majorHAnsi"/>
                <w:color w:val="000000"/>
              </w:rPr>
              <w:t>SOP’s</w:t>
            </w:r>
            <w:r w:rsidRPr="0091060D">
              <w:rPr>
                <w:rFonts w:asciiTheme="majorHAnsi" w:eastAsia="Times New Roman" w:hAnsiTheme="majorHAnsi" w:cstheme="majorHAnsi"/>
                <w:color w:val="000000"/>
              </w:rPr>
              <w:t>.</w:t>
            </w:r>
          </w:p>
        </w:tc>
        <w:tc>
          <w:tcPr>
            <w:tcW w:w="5222" w:type="dxa"/>
            <w:noWrap/>
            <w:hideMark/>
          </w:tcPr>
          <w:p w14:paraId="77369B25" w14:textId="77777777" w:rsidR="0091060D" w:rsidRPr="0091060D" w:rsidRDefault="0091060D" w:rsidP="0091060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91060D">
              <w:rPr>
                <w:rFonts w:asciiTheme="majorHAnsi" w:eastAsia="Times New Roman" w:hAnsiTheme="majorHAnsi" w:cstheme="majorHAnsi"/>
                <w:color w:val="000000"/>
              </w:rPr>
              <w:t>Risk control and risk file updates may be omitted during design changes or validations.</w:t>
            </w:r>
          </w:p>
        </w:tc>
        <w:tc>
          <w:tcPr>
            <w:tcW w:w="4950" w:type="dxa"/>
            <w:noWrap/>
            <w:hideMark/>
          </w:tcPr>
          <w:p w14:paraId="04EAD421" w14:textId="77777777" w:rsidR="0091060D" w:rsidRPr="0091060D" w:rsidRDefault="0091060D" w:rsidP="0091060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91060D">
              <w:rPr>
                <w:rFonts w:asciiTheme="majorHAnsi" w:eastAsia="Times New Roman" w:hAnsiTheme="majorHAnsi" w:cstheme="majorHAnsi"/>
                <w:color w:val="000000"/>
              </w:rPr>
              <w:t>Ensure all WIs reference the Risk Management Procedure and ISO 14971 requirements explicitly.</w:t>
            </w:r>
          </w:p>
        </w:tc>
      </w:tr>
      <w:tr w:rsidR="0091060D" w:rsidRPr="0091060D" w14:paraId="49C1AEC5" w14:textId="77777777" w:rsidTr="00325348">
        <w:trPr>
          <w:trHeight w:val="300"/>
        </w:trPr>
        <w:tc>
          <w:tcPr>
            <w:cnfStyle w:val="001000000000" w:firstRow="0" w:lastRow="0" w:firstColumn="1" w:lastColumn="0" w:oddVBand="0" w:evenVBand="0" w:oddHBand="0" w:evenHBand="0" w:firstRowFirstColumn="0" w:firstRowLastColumn="0" w:lastRowFirstColumn="0" w:lastRowLastColumn="0"/>
            <w:tcW w:w="3148" w:type="dxa"/>
            <w:noWrap/>
            <w:hideMark/>
          </w:tcPr>
          <w:p w14:paraId="75D30CEF" w14:textId="6C33AB24" w:rsidR="0091060D" w:rsidRPr="0091060D" w:rsidRDefault="0091060D" w:rsidP="0091060D">
            <w:pPr>
              <w:rPr>
                <w:rFonts w:asciiTheme="majorHAnsi" w:eastAsia="Times New Roman" w:hAnsiTheme="majorHAnsi" w:cstheme="majorHAnsi"/>
                <w:color w:val="000000"/>
              </w:rPr>
            </w:pPr>
            <w:r w:rsidRPr="0091060D">
              <w:rPr>
                <w:rFonts w:asciiTheme="majorHAnsi" w:eastAsia="Times New Roman" w:hAnsiTheme="majorHAnsi" w:cstheme="majorHAnsi"/>
                <w:color w:val="000000"/>
              </w:rPr>
              <w:t xml:space="preserve">Traceability matrix references are inconsistent or missing in </w:t>
            </w:r>
            <w:r w:rsidR="00097EC4">
              <w:rPr>
                <w:rFonts w:asciiTheme="majorHAnsi" w:eastAsia="Times New Roman" w:hAnsiTheme="majorHAnsi" w:cstheme="majorHAnsi"/>
                <w:color w:val="000000"/>
              </w:rPr>
              <w:t>SOP</w:t>
            </w:r>
            <w:r w:rsidRPr="0091060D">
              <w:rPr>
                <w:rFonts w:asciiTheme="majorHAnsi" w:eastAsia="Times New Roman" w:hAnsiTheme="majorHAnsi" w:cstheme="majorHAnsi"/>
                <w:color w:val="000000"/>
              </w:rPr>
              <w:t xml:space="preserve"> documents.</w:t>
            </w:r>
          </w:p>
        </w:tc>
        <w:tc>
          <w:tcPr>
            <w:tcW w:w="5222" w:type="dxa"/>
            <w:noWrap/>
            <w:hideMark/>
          </w:tcPr>
          <w:p w14:paraId="3CA4272F" w14:textId="77777777" w:rsidR="0091060D" w:rsidRPr="0091060D" w:rsidRDefault="0091060D" w:rsidP="0091060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91060D">
              <w:rPr>
                <w:rFonts w:asciiTheme="majorHAnsi" w:eastAsia="Times New Roman" w:hAnsiTheme="majorHAnsi" w:cstheme="majorHAnsi"/>
                <w:color w:val="000000"/>
              </w:rPr>
              <w:t>Regulatory risk of failing to demonstrate that all design inputs are verified/validated.</w:t>
            </w:r>
          </w:p>
        </w:tc>
        <w:tc>
          <w:tcPr>
            <w:tcW w:w="4950" w:type="dxa"/>
            <w:noWrap/>
            <w:hideMark/>
          </w:tcPr>
          <w:p w14:paraId="00800162" w14:textId="77777777" w:rsidR="0091060D" w:rsidRPr="0091060D" w:rsidRDefault="0091060D" w:rsidP="0091060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91060D">
              <w:rPr>
                <w:rFonts w:asciiTheme="majorHAnsi" w:eastAsia="Times New Roman" w:hAnsiTheme="majorHAnsi" w:cstheme="majorHAnsi"/>
                <w:color w:val="000000"/>
              </w:rPr>
              <w:t>Mandate traceability matrix usage in all applicable WIs and include template reference.</w:t>
            </w:r>
          </w:p>
        </w:tc>
      </w:tr>
      <w:tr w:rsidR="0091060D" w:rsidRPr="0091060D" w14:paraId="253D1E36" w14:textId="77777777" w:rsidTr="00325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8" w:type="dxa"/>
            <w:noWrap/>
            <w:hideMark/>
          </w:tcPr>
          <w:p w14:paraId="265A8ED1" w14:textId="153963EA" w:rsidR="0091060D" w:rsidRPr="0091060D" w:rsidRDefault="0091060D" w:rsidP="0091060D">
            <w:pPr>
              <w:rPr>
                <w:rFonts w:asciiTheme="majorHAnsi" w:eastAsia="Times New Roman" w:hAnsiTheme="majorHAnsi" w:cstheme="majorHAnsi"/>
                <w:color w:val="000000"/>
              </w:rPr>
            </w:pPr>
            <w:r w:rsidRPr="0091060D">
              <w:rPr>
                <w:rFonts w:asciiTheme="majorHAnsi" w:eastAsia="Times New Roman" w:hAnsiTheme="majorHAnsi" w:cstheme="majorHAnsi"/>
                <w:color w:val="000000"/>
              </w:rPr>
              <w:lastRenderedPageBreak/>
              <w:t>Design Transfer expectations not uniformly defined across SOP documents.</w:t>
            </w:r>
          </w:p>
        </w:tc>
        <w:tc>
          <w:tcPr>
            <w:tcW w:w="5222" w:type="dxa"/>
            <w:noWrap/>
            <w:hideMark/>
          </w:tcPr>
          <w:p w14:paraId="7B259F4B" w14:textId="77777777" w:rsidR="0091060D" w:rsidRPr="0091060D" w:rsidRDefault="0091060D" w:rsidP="0091060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91060D">
              <w:rPr>
                <w:rFonts w:asciiTheme="majorHAnsi" w:eastAsia="Times New Roman" w:hAnsiTheme="majorHAnsi" w:cstheme="majorHAnsi"/>
                <w:color w:val="000000"/>
              </w:rPr>
              <w:t>Incomplete or inconsistent DMR and DHF population at hand-off to manufacturing.</w:t>
            </w:r>
          </w:p>
        </w:tc>
        <w:tc>
          <w:tcPr>
            <w:tcW w:w="4950" w:type="dxa"/>
            <w:noWrap/>
            <w:hideMark/>
          </w:tcPr>
          <w:p w14:paraId="6D5D095D" w14:textId="77777777" w:rsidR="0091060D" w:rsidRPr="0091060D" w:rsidRDefault="0091060D" w:rsidP="0091060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91060D">
              <w:rPr>
                <w:rFonts w:asciiTheme="majorHAnsi" w:eastAsia="Times New Roman" w:hAnsiTheme="majorHAnsi" w:cstheme="majorHAnsi"/>
                <w:color w:val="000000"/>
              </w:rPr>
              <w:t>Standardize Design Transfer deliverables across SOP-0036 and Design Transfer WI.</w:t>
            </w:r>
          </w:p>
        </w:tc>
      </w:tr>
      <w:tr w:rsidR="0091060D" w:rsidRPr="0091060D" w14:paraId="220AEC47" w14:textId="77777777" w:rsidTr="00325348">
        <w:trPr>
          <w:trHeight w:val="300"/>
        </w:trPr>
        <w:tc>
          <w:tcPr>
            <w:cnfStyle w:val="001000000000" w:firstRow="0" w:lastRow="0" w:firstColumn="1" w:lastColumn="0" w:oddVBand="0" w:evenVBand="0" w:oddHBand="0" w:evenHBand="0" w:firstRowFirstColumn="0" w:firstRowLastColumn="0" w:lastRowFirstColumn="0" w:lastRowLastColumn="0"/>
            <w:tcW w:w="3148" w:type="dxa"/>
            <w:noWrap/>
            <w:hideMark/>
          </w:tcPr>
          <w:p w14:paraId="34BCC6F9" w14:textId="77777777" w:rsidR="0091060D" w:rsidRPr="0091060D" w:rsidRDefault="0091060D" w:rsidP="0091060D">
            <w:pPr>
              <w:rPr>
                <w:rFonts w:asciiTheme="majorHAnsi" w:eastAsia="Times New Roman" w:hAnsiTheme="majorHAnsi" w:cstheme="majorHAnsi"/>
                <w:color w:val="000000"/>
              </w:rPr>
            </w:pPr>
            <w:r w:rsidRPr="0091060D">
              <w:rPr>
                <w:rFonts w:asciiTheme="majorHAnsi" w:eastAsia="Times New Roman" w:hAnsiTheme="majorHAnsi" w:cstheme="majorHAnsi"/>
                <w:color w:val="000000"/>
              </w:rPr>
              <w:t>Human Factors (Usability Engineering) considerations not embedded across all design stages.</w:t>
            </w:r>
          </w:p>
        </w:tc>
        <w:tc>
          <w:tcPr>
            <w:tcW w:w="5222" w:type="dxa"/>
            <w:noWrap/>
            <w:hideMark/>
          </w:tcPr>
          <w:p w14:paraId="492A11A1" w14:textId="77777777" w:rsidR="0091060D" w:rsidRPr="0091060D" w:rsidRDefault="0091060D" w:rsidP="0091060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91060D">
              <w:rPr>
                <w:rFonts w:asciiTheme="majorHAnsi" w:eastAsia="Times New Roman" w:hAnsiTheme="majorHAnsi" w:cstheme="majorHAnsi"/>
                <w:color w:val="000000"/>
              </w:rPr>
              <w:t>Potential compliance gaps with IEC 62366 and FDA Human Factors Guidance.</w:t>
            </w:r>
          </w:p>
        </w:tc>
        <w:tc>
          <w:tcPr>
            <w:tcW w:w="4950" w:type="dxa"/>
            <w:noWrap/>
            <w:hideMark/>
          </w:tcPr>
          <w:p w14:paraId="6DF318CA" w14:textId="77777777" w:rsidR="0091060D" w:rsidRPr="0091060D" w:rsidRDefault="0091060D" w:rsidP="0091060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91060D">
              <w:rPr>
                <w:rFonts w:asciiTheme="majorHAnsi" w:eastAsia="Times New Roman" w:hAnsiTheme="majorHAnsi" w:cstheme="majorHAnsi"/>
                <w:color w:val="000000"/>
              </w:rPr>
              <w:t>Embed Human Factors milestones into Design Input, Verification, and Validation procedures.</w:t>
            </w:r>
          </w:p>
        </w:tc>
      </w:tr>
    </w:tbl>
    <w:p w14:paraId="5BFDD5C8" w14:textId="768627BC" w:rsidR="00F0670D" w:rsidRPr="00F0670D" w:rsidRDefault="00F0670D" w:rsidP="00224984">
      <w:pPr>
        <w:spacing w:before="100" w:beforeAutospacing="1" w:after="100" w:afterAutospacing="1"/>
        <w:outlineLvl w:val="2"/>
        <w:rPr>
          <w:rFonts w:asciiTheme="majorHAnsi" w:eastAsia="Times New Roman" w:hAnsiTheme="majorHAnsi" w:cstheme="majorHAnsi"/>
          <w:b/>
          <w:bCs/>
        </w:rPr>
      </w:pPr>
      <w:r w:rsidRPr="00F0670D">
        <w:rPr>
          <w:rFonts w:asciiTheme="majorHAnsi" w:eastAsia="Times New Roman" w:hAnsiTheme="majorHAnsi" w:cstheme="majorHAnsi"/>
          <w:b/>
          <w:bCs/>
        </w:rPr>
        <w:t>Next Steps &amp; Recommendations</w:t>
      </w:r>
    </w:p>
    <w:p w14:paraId="33FF3B97" w14:textId="77777777" w:rsidR="00F0670D" w:rsidRPr="00F0670D" w:rsidRDefault="00F0670D" w:rsidP="00F0670D">
      <w:pPr>
        <w:spacing w:before="100" w:beforeAutospacing="1" w:after="100" w:afterAutospacing="1"/>
        <w:rPr>
          <w:rFonts w:asciiTheme="majorHAnsi" w:eastAsia="Times New Roman" w:hAnsiTheme="majorHAnsi" w:cstheme="majorHAnsi"/>
        </w:rPr>
      </w:pPr>
      <w:r w:rsidRPr="00F0670D">
        <w:rPr>
          <w:rFonts w:asciiTheme="majorHAnsi" w:eastAsia="Times New Roman" w:hAnsiTheme="majorHAnsi" w:cstheme="majorHAnsi"/>
        </w:rPr>
        <w:t xml:space="preserve">Since this document is part of a larger system (and several other SOPs were submitted), a </w:t>
      </w:r>
      <w:r w:rsidRPr="00097EC4">
        <w:rPr>
          <w:rFonts w:asciiTheme="majorHAnsi" w:eastAsia="Times New Roman" w:hAnsiTheme="majorHAnsi" w:cstheme="majorHAnsi"/>
        </w:rPr>
        <w:t>system-level consistency review is</w:t>
      </w:r>
      <w:r w:rsidRPr="00F0670D">
        <w:rPr>
          <w:rFonts w:asciiTheme="majorHAnsi" w:eastAsia="Times New Roman" w:hAnsiTheme="majorHAnsi" w:cstheme="majorHAnsi"/>
        </w:rPr>
        <w:t xml:space="preserve"> recommended to evaluate:</w:t>
      </w:r>
    </w:p>
    <w:p w14:paraId="619DD2D7" w14:textId="77777777" w:rsidR="00F0670D" w:rsidRPr="00F0670D" w:rsidRDefault="00F0670D" w:rsidP="00F0670D">
      <w:pPr>
        <w:numPr>
          <w:ilvl w:val="0"/>
          <w:numId w:val="6"/>
        </w:numPr>
        <w:spacing w:before="100" w:beforeAutospacing="1" w:after="100" w:afterAutospacing="1"/>
        <w:rPr>
          <w:rFonts w:asciiTheme="majorHAnsi" w:eastAsia="Times New Roman" w:hAnsiTheme="majorHAnsi" w:cstheme="majorHAnsi"/>
        </w:rPr>
      </w:pPr>
      <w:r w:rsidRPr="00F0670D">
        <w:rPr>
          <w:rFonts w:asciiTheme="majorHAnsi" w:eastAsia="Times New Roman" w:hAnsiTheme="majorHAnsi" w:cstheme="majorHAnsi"/>
          <w:b/>
          <w:bCs/>
        </w:rPr>
        <w:t>Traceability and alignment across SOPs and Work Instructions:</w:t>
      </w:r>
    </w:p>
    <w:p w14:paraId="7EAE6AC7" w14:textId="77777777" w:rsidR="00F0670D" w:rsidRPr="00F0670D" w:rsidRDefault="00F0670D" w:rsidP="00F0670D">
      <w:pPr>
        <w:numPr>
          <w:ilvl w:val="1"/>
          <w:numId w:val="6"/>
        </w:numPr>
        <w:spacing w:before="100" w:beforeAutospacing="1" w:after="100" w:afterAutospacing="1"/>
        <w:rPr>
          <w:rFonts w:asciiTheme="majorHAnsi" w:eastAsia="Times New Roman" w:hAnsiTheme="majorHAnsi" w:cstheme="majorHAnsi"/>
        </w:rPr>
      </w:pPr>
      <w:r w:rsidRPr="00F0670D">
        <w:rPr>
          <w:rFonts w:asciiTheme="majorHAnsi" w:eastAsia="Times New Roman" w:hAnsiTheme="majorHAnsi" w:cstheme="majorHAnsi"/>
        </w:rPr>
        <w:t>Inputs, outputs, and verifications mentioned in WI documents (e.g., Design Inputs, Outputs, Verification, Validation) must tie directly into this SOP and show traceability in the DHF.</w:t>
      </w:r>
    </w:p>
    <w:p w14:paraId="04434AFC" w14:textId="77777777" w:rsidR="00F0670D" w:rsidRPr="00F0670D" w:rsidRDefault="00F0670D" w:rsidP="00F0670D">
      <w:pPr>
        <w:numPr>
          <w:ilvl w:val="0"/>
          <w:numId w:val="6"/>
        </w:numPr>
        <w:spacing w:before="100" w:beforeAutospacing="1" w:after="100" w:afterAutospacing="1"/>
        <w:rPr>
          <w:rFonts w:asciiTheme="majorHAnsi" w:eastAsia="Times New Roman" w:hAnsiTheme="majorHAnsi" w:cstheme="majorHAnsi"/>
        </w:rPr>
      </w:pPr>
      <w:r w:rsidRPr="00F0670D">
        <w:rPr>
          <w:rFonts w:asciiTheme="majorHAnsi" w:eastAsia="Times New Roman" w:hAnsiTheme="majorHAnsi" w:cstheme="majorHAnsi"/>
          <w:b/>
          <w:bCs/>
        </w:rPr>
        <w:t>Cross-functional consistency:</w:t>
      </w:r>
    </w:p>
    <w:p w14:paraId="24A04E3C" w14:textId="77777777" w:rsidR="00F0670D" w:rsidRPr="00F0670D" w:rsidRDefault="00F0670D" w:rsidP="00F0670D">
      <w:pPr>
        <w:numPr>
          <w:ilvl w:val="1"/>
          <w:numId w:val="6"/>
        </w:numPr>
        <w:spacing w:before="100" w:beforeAutospacing="1" w:after="100" w:afterAutospacing="1"/>
        <w:rPr>
          <w:rFonts w:asciiTheme="majorHAnsi" w:eastAsia="Times New Roman" w:hAnsiTheme="majorHAnsi" w:cstheme="majorHAnsi"/>
        </w:rPr>
      </w:pPr>
      <w:r w:rsidRPr="00F0670D">
        <w:rPr>
          <w:rFonts w:asciiTheme="majorHAnsi" w:eastAsia="Times New Roman" w:hAnsiTheme="majorHAnsi" w:cstheme="majorHAnsi"/>
        </w:rPr>
        <w:t>Confirm that risk management elements (as required by ISO 14971 and referenced in the Risk Management SOP) are integrated into design control deliverables and reviews.</w:t>
      </w:r>
    </w:p>
    <w:p w14:paraId="34E61F7A" w14:textId="77777777" w:rsidR="00F0670D" w:rsidRPr="00F0670D" w:rsidRDefault="00F0670D" w:rsidP="00F0670D">
      <w:pPr>
        <w:numPr>
          <w:ilvl w:val="0"/>
          <w:numId w:val="6"/>
        </w:numPr>
        <w:spacing w:before="100" w:beforeAutospacing="1" w:after="100" w:afterAutospacing="1"/>
        <w:rPr>
          <w:rFonts w:asciiTheme="majorHAnsi" w:eastAsia="Times New Roman" w:hAnsiTheme="majorHAnsi" w:cstheme="majorHAnsi"/>
        </w:rPr>
      </w:pPr>
      <w:r w:rsidRPr="00F0670D">
        <w:rPr>
          <w:rFonts w:asciiTheme="majorHAnsi" w:eastAsia="Times New Roman" w:hAnsiTheme="majorHAnsi" w:cstheme="majorHAnsi"/>
          <w:b/>
          <w:bCs/>
        </w:rPr>
        <w:t>Combination product regulatory crosswalk:</w:t>
      </w:r>
    </w:p>
    <w:p w14:paraId="7B525053" w14:textId="77777777" w:rsidR="00F0670D" w:rsidRPr="00F0670D" w:rsidRDefault="00F0670D" w:rsidP="00F0670D">
      <w:pPr>
        <w:numPr>
          <w:ilvl w:val="1"/>
          <w:numId w:val="6"/>
        </w:numPr>
        <w:spacing w:before="100" w:beforeAutospacing="1" w:after="100" w:afterAutospacing="1"/>
        <w:rPr>
          <w:rFonts w:asciiTheme="majorHAnsi" w:eastAsia="Times New Roman" w:hAnsiTheme="majorHAnsi" w:cstheme="majorHAnsi"/>
        </w:rPr>
      </w:pPr>
      <w:r w:rsidRPr="00F0670D">
        <w:rPr>
          <w:rFonts w:asciiTheme="majorHAnsi" w:eastAsia="Times New Roman" w:hAnsiTheme="majorHAnsi" w:cstheme="majorHAnsi"/>
        </w:rPr>
        <w:t>Explicit traceability to Part 210/211 requirements for combination products should be incorporated across relevant procedures.</w:t>
      </w:r>
    </w:p>
    <w:p w14:paraId="1FE08B85" w14:textId="77777777" w:rsidR="00F0670D" w:rsidRPr="00F0670D" w:rsidRDefault="00656355" w:rsidP="00F0670D">
      <w:pPr>
        <w:rPr>
          <w:rFonts w:asciiTheme="majorHAnsi" w:eastAsia="Times New Roman" w:hAnsiTheme="majorHAnsi" w:cstheme="majorHAnsi"/>
        </w:rPr>
      </w:pPr>
      <w:r>
        <w:rPr>
          <w:rFonts w:asciiTheme="majorHAnsi" w:eastAsia="Times New Roman" w:hAnsiTheme="majorHAnsi" w:cstheme="majorHAnsi"/>
        </w:rPr>
        <w:pict w14:anchorId="0B048643">
          <v:rect id="_x0000_i1032" style="width:0;height:1.5pt" o:hralign="center" o:hrstd="t" o:hr="t" fillcolor="#a0a0a0" stroked="f"/>
        </w:pict>
      </w:r>
    </w:p>
    <w:p w14:paraId="04554177" w14:textId="77777777" w:rsidR="00F0670D" w:rsidRPr="00F0670D" w:rsidRDefault="00F0670D" w:rsidP="00F0670D">
      <w:pPr>
        <w:spacing w:before="100" w:beforeAutospacing="1" w:after="100" w:afterAutospacing="1"/>
        <w:outlineLvl w:val="2"/>
        <w:rPr>
          <w:rFonts w:asciiTheme="majorHAnsi" w:eastAsia="Times New Roman" w:hAnsiTheme="majorHAnsi" w:cstheme="majorHAnsi"/>
          <w:b/>
          <w:bCs/>
        </w:rPr>
      </w:pPr>
      <w:r w:rsidRPr="00F0670D">
        <w:rPr>
          <w:rFonts w:asciiTheme="majorHAnsi" w:eastAsia="Times New Roman" w:hAnsiTheme="majorHAnsi" w:cstheme="majorHAnsi"/>
          <w:b/>
          <w:bCs/>
        </w:rPr>
        <w:t>Confirmed Compatibility</w:t>
      </w:r>
    </w:p>
    <w:p w14:paraId="55BD2508" w14:textId="77777777" w:rsidR="00F0670D" w:rsidRPr="00F0670D" w:rsidRDefault="00F0670D" w:rsidP="00F0670D">
      <w:pPr>
        <w:spacing w:before="100" w:beforeAutospacing="1" w:after="100" w:afterAutospacing="1"/>
        <w:rPr>
          <w:rFonts w:asciiTheme="majorHAnsi" w:eastAsia="Times New Roman" w:hAnsiTheme="majorHAnsi" w:cstheme="majorHAnsi"/>
        </w:rPr>
      </w:pPr>
      <w:r w:rsidRPr="00F0670D">
        <w:rPr>
          <w:rFonts w:asciiTheme="majorHAnsi" w:eastAsia="Times New Roman" w:hAnsiTheme="majorHAnsi" w:cstheme="majorHAnsi"/>
        </w:rPr>
        <w:t>This SOP does include the following strengths:</w:t>
      </w:r>
    </w:p>
    <w:p w14:paraId="54428397" w14:textId="77777777" w:rsidR="00F0670D" w:rsidRPr="00F0670D" w:rsidRDefault="00F0670D" w:rsidP="00F0670D">
      <w:pPr>
        <w:numPr>
          <w:ilvl w:val="0"/>
          <w:numId w:val="7"/>
        </w:numPr>
        <w:spacing w:before="100" w:beforeAutospacing="1" w:after="100" w:afterAutospacing="1"/>
        <w:rPr>
          <w:rFonts w:asciiTheme="majorHAnsi" w:eastAsia="Times New Roman" w:hAnsiTheme="majorHAnsi" w:cstheme="majorHAnsi"/>
        </w:rPr>
      </w:pPr>
      <w:r w:rsidRPr="00F0670D">
        <w:rPr>
          <w:rFonts w:asciiTheme="majorHAnsi" w:eastAsia="Times New Roman" w:hAnsiTheme="majorHAnsi" w:cstheme="majorHAnsi"/>
        </w:rPr>
        <w:lastRenderedPageBreak/>
        <w:t>Proper citations to 21 CFR 820.30 and ISO 13485.</w:t>
      </w:r>
    </w:p>
    <w:p w14:paraId="16BF0FF9" w14:textId="77777777" w:rsidR="00F0670D" w:rsidRPr="00F0670D" w:rsidRDefault="00F0670D" w:rsidP="00F0670D">
      <w:pPr>
        <w:numPr>
          <w:ilvl w:val="0"/>
          <w:numId w:val="7"/>
        </w:numPr>
        <w:spacing w:before="100" w:beforeAutospacing="1" w:after="100" w:afterAutospacing="1"/>
        <w:rPr>
          <w:rFonts w:asciiTheme="majorHAnsi" w:eastAsia="Times New Roman" w:hAnsiTheme="majorHAnsi" w:cstheme="majorHAnsi"/>
        </w:rPr>
      </w:pPr>
      <w:r w:rsidRPr="00F0670D">
        <w:rPr>
          <w:rFonts w:asciiTheme="majorHAnsi" w:eastAsia="Times New Roman" w:hAnsiTheme="majorHAnsi" w:cstheme="majorHAnsi"/>
        </w:rPr>
        <w:t>Recognition of combination product scope.</w:t>
      </w:r>
    </w:p>
    <w:p w14:paraId="3AD48E50" w14:textId="77777777" w:rsidR="00F0670D" w:rsidRPr="00F0670D" w:rsidRDefault="00F0670D" w:rsidP="00F0670D">
      <w:pPr>
        <w:numPr>
          <w:ilvl w:val="0"/>
          <w:numId w:val="7"/>
        </w:numPr>
        <w:spacing w:before="100" w:beforeAutospacing="1" w:after="100" w:afterAutospacing="1"/>
        <w:rPr>
          <w:rFonts w:asciiTheme="majorHAnsi" w:eastAsia="Times New Roman" w:hAnsiTheme="majorHAnsi" w:cstheme="majorHAnsi"/>
        </w:rPr>
      </w:pPr>
      <w:r w:rsidRPr="00F0670D">
        <w:rPr>
          <w:rFonts w:asciiTheme="majorHAnsi" w:eastAsia="Times New Roman" w:hAnsiTheme="majorHAnsi" w:cstheme="majorHAnsi"/>
        </w:rPr>
        <w:t>Inclusion of a Design and Development Plan (DDP).</w:t>
      </w:r>
    </w:p>
    <w:p w14:paraId="07645826" w14:textId="77777777" w:rsidR="00F0670D" w:rsidRPr="00F0670D" w:rsidRDefault="00F0670D" w:rsidP="00F0670D">
      <w:pPr>
        <w:numPr>
          <w:ilvl w:val="0"/>
          <w:numId w:val="7"/>
        </w:numPr>
        <w:spacing w:before="100" w:beforeAutospacing="1" w:after="100" w:afterAutospacing="1"/>
        <w:rPr>
          <w:rFonts w:asciiTheme="majorHAnsi" w:eastAsia="Times New Roman" w:hAnsiTheme="majorHAnsi" w:cstheme="majorHAnsi"/>
        </w:rPr>
      </w:pPr>
      <w:r w:rsidRPr="00F0670D">
        <w:rPr>
          <w:rFonts w:asciiTheme="majorHAnsi" w:eastAsia="Times New Roman" w:hAnsiTheme="majorHAnsi" w:cstheme="majorHAnsi"/>
        </w:rPr>
        <w:t>Delegation of cross-functional roles and responsibilities.</w:t>
      </w:r>
    </w:p>
    <w:p w14:paraId="2F966F6A" w14:textId="77777777" w:rsidR="00F0670D" w:rsidRPr="00F0670D" w:rsidRDefault="00656355" w:rsidP="00F0670D">
      <w:pPr>
        <w:rPr>
          <w:rFonts w:asciiTheme="majorHAnsi" w:eastAsia="Times New Roman" w:hAnsiTheme="majorHAnsi" w:cstheme="majorHAnsi"/>
        </w:rPr>
      </w:pPr>
      <w:r>
        <w:rPr>
          <w:rFonts w:asciiTheme="majorHAnsi" w:eastAsia="Times New Roman" w:hAnsiTheme="majorHAnsi" w:cstheme="majorHAnsi"/>
        </w:rPr>
        <w:pict w14:anchorId="479F6E83">
          <v:rect id="_x0000_i1033" style="width:0;height:1.5pt" o:hralign="center" o:hrstd="t" o:hr="t" fillcolor="#a0a0a0" stroked="f"/>
        </w:pict>
      </w:r>
    </w:p>
    <w:p w14:paraId="531B3377" w14:textId="6C6C7D51" w:rsidR="008C2530" w:rsidRDefault="008C2530">
      <w:pPr>
        <w:rPr>
          <w:rFonts w:asciiTheme="majorHAnsi" w:hAnsiTheme="majorHAnsi" w:cstheme="majorHAnsi"/>
        </w:rPr>
      </w:pPr>
      <w:r>
        <w:rPr>
          <w:rFonts w:asciiTheme="majorHAnsi" w:hAnsiTheme="majorHAnsi" w:cstheme="majorHAnsi"/>
        </w:rPr>
        <w:br w:type="page"/>
      </w:r>
    </w:p>
    <w:p w14:paraId="65441569" w14:textId="3DEF126C" w:rsidR="00DE24CA" w:rsidRDefault="00DE24CA" w:rsidP="00DE24CA">
      <w:pPr>
        <w:spacing w:before="100" w:beforeAutospacing="1" w:after="100" w:afterAutospacing="1"/>
        <w:outlineLvl w:val="2"/>
        <w:rPr>
          <w:rFonts w:asciiTheme="majorHAnsi" w:hAnsiTheme="majorHAnsi" w:cstheme="majorHAnsi"/>
        </w:rPr>
      </w:pPr>
      <w:r w:rsidRPr="004E2C59">
        <w:rPr>
          <w:rFonts w:asciiTheme="majorHAnsi" w:eastAsia="Times New Roman" w:hAnsiTheme="majorHAnsi" w:cstheme="majorHAnsi"/>
          <w:b/>
          <w:bCs/>
          <w:sz w:val="28"/>
          <w:szCs w:val="28"/>
        </w:rPr>
        <w:lastRenderedPageBreak/>
        <w:t>Document Reviewed: SOP-00</w:t>
      </w:r>
      <w:r>
        <w:rPr>
          <w:rFonts w:asciiTheme="majorHAnsi" w:eastAsia="Times New Roman" w:hAnsiTheme="majorHAnsi" w:cstheme="majorHAnsi"/>
          <w:b/>
          <w:bCs/>
          <w:sz w:val="28"/>
          <w:szCs w:val="28"/>
        </w:rPr>
        <w:t>28: Change Control Process</w:t>
      </w:r>
    </w:p>
    <w:p w14:paraId="15883BDF" w14:textId="7B361803" w:rsidR="00FF5752" w:rsidRPr="00FF5752" w:rsidRDefault="00FF5752" w:rsidP="00FF5752">
      <w:pPr>
        <w:rPr>
          <w:rFonts w:asciiTheme="majorHAnsi" w:hAnsiTheme="majorHAnsi" w:cstheme="majorHAnsi"/>
        </w:rPr>
      </w:pPr>
      <w:r w:rsidRPr="00FF5752">
        <w:rPr>
          <w:rFonts w:asciiTheme="majorHAnsi" w:hAnsiTheme="majorHAnsi" w:cstheme="majorHAnsi"/>
        </w:rPr>
        <w:t xml:space="preserve">The document </w:t>
      </w:r>
      <w:r w:rsidRPr="00FF5752">
        <w:rPr>
          <w:rFonts w:asciiTheme="majorHAnsi" w:hAnsiTheme="majorHAnsi" w:cstheme="majorHAnsi"/>
          <w:b/>
          <w:bCs/>
        </w:rPr>
        <w:t>SOP-0028: Change Control Process</w:t>
      </w:r>
      <w:r w:rsidRPr="00FF5752">
        <w:rPr>
          <w:rFonts w:asciiTheme="majorHAnsi" w:hAnsiTheme="majorHAnsi" w:cstheme="majorHAnsi"/>
        </w:rPr>
        <w:t xml:space="preserve"> was critically reviewed against:</w:t>
      </w:r>
    </w:p>
    <w:p w14:paraId="266DA731" w14:textId="77777777" w:rsidR="00FF5752" w:rsidRPr="00042FB1" w:rsidRDefault="00FF5752" w:rsidP="00FF5752">
      <w:pPr>
        <w:numPr>
          <w:ilvl w:val="0"/>
          <w:numId w:val="12"/>
        </w:numPr>
        <w:rPr>
          <w:rFonts w:asciiTheme="majorHAnsi" w:hAnsiTheme="majorHAnsi" w:cstheme="majorHAnsi"/>
        </w:rPr>
      </w:pPr>
      <w:r w:rsidRPr="00042FB1">
        <w:rPr>
          <w:rFonts w:asciiTheme="majorHAnsi" w:hAnsiTheme="majorHAnsi" w:cstheme="majorHAnsi"/>
        </w:rPr>
        <w:t>21 CFR Part 820.30 and 820.100</w:t>
      </w:r>
    </w:p>
    <w:p w14:paraId="57B3B9B9" w14:textId="77777777" w:rsidR="00FF5752" w:rsidRPr="00042FB1" w:rsidRDefault="00FF5752" w:rsidP="00FF5752">
      <w:pPr>
        <w:numPr>
          <w:ilvl w:val="0"/>
          <w:numId w:val="12"/>
        </w:numPr>
        <w:rPr>
          <w:rFonts w:asciiTheme="majorHAnsi" w:hAnsiTheme="majorHAnsi" w:cstheme="majorHAnsi"/>
        </w:rPr>
      </w:pPr>
      <w:r w:rsidRPr="00042FB1">
        <w:rPr>
          <w:rFonts w:asciiTheme="majorHAnsi" w:hAnsiTheme="majorHAnsi" w:cstheme="majorHAnsi"/>
        </w:rPr>
        <w:t>ISO 13485:2016, particularly clauses §6.2, §7.1, §7.3.9, and §8.5</w:t>
      </w:r>
    </w:p>
    <w:p w14:paraId="24E8CD85" w14:textId="77777777" w:rsidR="00FF5752" w:rsidRPr="00042FB1" w:rsidRDefault="00FF5752" w:rsidP="00FF5752">
      <w:pPr>
        <w:numPr>
          <w:ilvl w:val="0"/>
          <w:numId w:val="12"/>
        </w:numPr>
        <w:rPr>
          <w:rFonts w:asciiTheme="majorHAnsi" w:hAnsiTheme="majorHAnsi" w:cstheme="majorHAnsi"/>
        </w:rPr>
      </w:pPr>
      <w:r w:rsidRPr="00042FB1">
        <w:rPr>
          <w:rFonts w:asciiTheme="majorHAnsi" w:hAnsiTheme="majorHAnsi" w:cstheme="majorHAnsi"/>
        </w:rPr>
        <w:t>21 CFR Part 4, for combination product considerations</w:t>
      </w:r>
    </w:p>
    <w:p w14:paraId="12211C98" w14:textId="77777777" w:rsidR="00FF5752" w:rsidRPr="00042FB1" w:rsidRDefault="00FF5752" w:rsidP="00FF5752">
      <w:pPr>
        <w:numPr>
          <w:ilvl w:val="0"/>
          <w:numId w:val="12"/>
        </w:numPr>
        <w:rPr>
          <w:rFonts w:asciiTheme="majorHAnsi" w:hAnsiTheme="majorHAnsi" w:cstheme="majorHAnsi"/>
        </w:rPr>
      </w:pPr>
      <w:r w:rsidRPr="00042FB1">
        <w:rPr>
          <w:rFonts w:asciiTheme="majorHAnsi" w:hAnsiTheme="majorHAnsi" w:cstheme="majorHAnsi"/>
        </w:rPr>
        <w:t>ISO 14971:2019 for risk-based design and process change management</w:t>
      </w:r>
    </w:p>
    <w:p w14:paraId="1B52AC51" w14:textId="77777777" w:rsidR="00FF5752" w:rsidRPr="00FF5752" w:rsidRDefault="00656355" w:rsidP="00FF5752">
      <w:pPr>
        <w:rPr>
          <w:rFonts w:asciiTheme="majorHAnsi" w:hAnsiTheme="majorHAnsi" w:cstheme="majorHAnsi"/>
        </w:rPr>
      </w:pPr>
      <w:r>
        <w:rPr>
          <w:rFonts w:asciiTheme="majorHAnsi" w:hAnsiTheme="majorHAnsi" w:cstheme="majorHAnsi"/>
        </w:rPr>
        <w:pict w14:anchorId="6AB50E0F">
          <v:rect id="_x0000_i1034" style="width:0;height:1.5pt" o:hralign="center" o:hrstd="t" o:hr="t" fillcolor="#a0a0a0" stroked="f"/>
        </w:pict>
      </w:r>
    </w:p>
    <w:p w14:paraId="2C19719C" w14:textId="77777777" w:rsidR="00A82E3E" w:rsidRPr="00F145DA" w:rsidRDefault="00A82E3E" w:rsidP="00FF5752">
      <w:pPr>
        <w:rPr>
          <w:rFonts w:asciiTheme="majorHAnsi" w:hAnsiTheme="majorHAnsi" w:cstheme="majorHAnsi"/>
          <w:b/>
          <w:bCs/>
        </w:rPr>
      </w:pPr>
    </w:p>
    <w:tbl>
      <w:tblPr>
        <w:tblStyle w:val="GridTable2-Accent3"/>
        <w:tblW w:w="13306" w:type="dxa"/>
        <w:tblLook w:val="04A0" w:firstRow="1" w:lastRow="0" w:firstColumn="1" w:lastColumn="0" w:noHBand="0" w:noVBand="1"/>
      </w:tblPr>
      <w:tblGrid>
        <w:gridCol w:w="2430"/>
        <w:gridCol w:w="1260"/>
        <w:gridCol w:w="3150"/>
        <w:gridCol w:w="3240"/>
        <w:gridCol w:w="3226"/>
      </w:tblGrid>
      <w:tr w:rsidR="00AF6585" w:rsidRPr="00A82E3E" w14:paraId="54F1DFB5" w14:textId="77777777" w:rsidTr="3D09FF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3C6E99D" w14:textId="77777777" w:rsidR="00A82E3E" w:rsidRPr="00A82E3E" w:rsidRDefault="00A82E3E" w:rsidP="00A82E3E">
            <w:pPr>
              <w:rPr>
                <w:rFonts w:asciiTheme="majorHAnsi" w:eastAsia="Times New Roman" w:hAnsiTheme="majorHAnsi" w:cstheme="majorHAnsi"/>
                <w:color w:val="000000"/>
              </w:rPr>
            </w:pPr>
            <w:r w:rsidRPr="00A82E3E">
              <w:rPr>
                <w:rFonts w:asciiTheme="majorHAnsi" w:eastAsia="Times New Roman" w:hAnsiTheme="majorHAnsi" w:cstheme="majorHAnsi"/>
                <w:color w:val="000000"/>
              </w:rPr>
              <w:t>Issue Description</w:t>
            </w:r>
          </w:p>
        </w:tc>
        <w:tc>
          <w:tcPr>
            <w:tcW w:w="1260" w:type="dxa"/>
            <w:noWrap/>
            <w:hideMark/>
          </w:tcPr>
          <w:p w14:paraId="00FCCEA8" w14:textId="77777777" w:rsidR="00A82E3E" w:rsidRPr="00A82E3E" w:rsidRDefault="00A82E3E" w:rsidP="00A82E3E">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A82E3E">
              <w:rPr>
                <w:rFonts w:asciiTheme="majorHAnsi" w:eastAsia="Times New Roman" w:hAnsiTheme="majorHAnsi" w:cstheme="majorHAnsi"/>
                <w:color w:val="000000"/>
              </w:rPr>
              <w:t>Severity Level</w:t>
            </w:r>
          </w:p>
        </w:tc>
        <w:tc>
          <w:tcPr>
            <w:tcW w:w="3150" w:type="dxa"/>
            <w:noWrap/>
            <w:hideMark/>
          </w:tcPr>
          <w:p w14:paraId="7D90B35B" w14:textId="77777777" w:rsidR="00A82E3E" w:rsidRPr="00A82E3E" w:rsidRDefault="00A82E3E" w:rsidP="00A82E3E">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A82E3E">
              <w:rPr>
                <w:rFonts w:asciiTheme="majorHAnsi" w:eastAsia="Times New Roman" w:hAnsiTheme="majorHAnsi" w:cstheme="majorHAnsi"/>
                <w:color w:val="000000"/>
              </w:rPr>
              <w:t>Original Excerpt</w:t>
            </w:r>
          </w:p>
        </w:tc>
        <w:tc>
          <w:tcPr>
            <w:tcW w:w="3240" w:type="dxa"/>
            <w:noWrap/>
            <w:hideMark/>
          </w:tcPr>
          <w:p w14:paraId="333DB055" w14:textId="77777777" w:rsidR="00A82E3E" w:rsidRPr="00A82E3E" w:rsidRDefault="00A82E3E" w:rsidP="00A82E3E">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A82E3E">
              <w:rPr>
                <w:rFonts w:asciiTheme="majorHAnsi" w:eastAsia="Times New Roman" w:hAnsiTheme="majorHAnsi" w:cstheme="majorHAnsi"/>
                <w:color w:val="000000"/>
              </w:rPr>
              <w:t>Recommended Revision</w:t>
            </w:r>
          </w:p>
        </w:tc>
        <w:tc>
          <w:tcPr>
            <w:tcW w:w="3226" w:type="dxa"/>
            <w:noWrap/>
            <w:hideMark/>
          </w:tcPr>
          <w:p w14:paraId="60A27F13" w14:textId="77777777" w:rsidR="00A82E3E" w:rsidRPr="00A82E3E" w:rsidRDefault="00A82E3E" w:rsidP="00A82E3E">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A82E3E">
              <w:rPr>
                <w:rFonts w:asciiTheme="majorHAnsi" w:eastAsia="Times New Roman" w:hAnsiTheme="majorHAnsi" w:cstheme="majorHAnsi"/>
                <w:color w:val="000000"/>
              </w:rPr>
              <w:t>Applicable Standard or Regulation</w:t>
            </w:r>
          </w:p>
        </w:tc>
      </w:tr>
      <w:tr w:rsidR="00AF6585" w:rsidRPr="00A82E3E" w14:paraId="5A991C57" w14:textId="77777777" w:rsidTr="3D09FF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E1FFA7E" w14:textId="77777777" w:rsidR="00A82E3E" w:rsidRPr="00A82E3E" w:rsidRDefault="00A82E3E" w:rsidP="00A82E3E">
            <w:pPr>
              <w:rPr>
                <w:rFonts w:asciiTheme="majorHAnsi" w:eastAsia="Times New Roman" w:hAnsiTheme="majorHAnsi" w:cstheme="majorHAnsi"/>
                <w:color w:val="000000"/>
              </w:rPr>
            </w:pPr>
            <w:r w:rsidRPr="00A82E3E">
              <w:rPr>
                <w:rFonts w:asciiTheme="majorHAnsi" w:eastAsia="Times New Roman" w:hAnsiTheme="majorHAnsi" w:cstheme="majorHAnsi"/>
                <w:color w:val="000000"/>
              </w:rPr>
              <w:t>No explicit requirement for assessing impact on combination product CGMPs.</w:t>
            </w:r>
          </w:p>
        </w:tc>
        <w:tc>
          <w:tcPr>
            <w:tcW w:w="1260" w:type="dxa"/>
            <w:noWrap/>
            <w:hideMark/>
          </w:tcPr>
          <w:p w14:paraId="0BD9A884" w14:textId="77777777" w:rsidR="00A82E3E" w:rsidRPr="00A82E3E" w:rsidRDefault="00A82E3E" w:rsidP="00A82E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rPr>
            </w:pPr>
            <w:r w:rsidRPr="00A82E3E">
              <w:rPr>
                <w:rFonts w:asciiTheme="majorHAnsi" w:eastAsia="Times New Roman" w:hAnsiTheme="majorHAnsi" w:cstheme="majorHAnsi"/>
                <w:b/>
                <w:bCs/>
                <w:color w:val="000000"/>
              </w:rPr>
              <w:t>Critical</w:t>
            </w:r>
          </w:p>
        </w:tc>
        <w:tc>
          <w:tcPr>
            <w:tcW w:w="3150" w:type="dxa"/>
            <w:noWrap/>
            <w:hideMark/>
          </w:tcPr>
          <w:p w14:paraId="38228348" w14:textId="77777777" w:rsidR="00A82E3E" w:rsidRPr="00A82E3E" w:rsidRDefault="00A82E3E" w:rsidP="00A82E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A82E3E">
              <w:rPr>
                <w:rFonts w:asciiTheme="majorHAnsi" w:eastAsia="Times New Roman" w:hAnsiTheme="majorHAnsi" w:cstheme="majorHAnsi"/>
                <w:color w:val="000000"/>
              </w:rPr>
              <w:t>Changes are assessed for impact to quality systems and regulatory filings, but no criteria are provided for combination products governed by dual CGMPs.</w:t>
            </w:r>
          </w:p>
        </w:tc>
        <w:tc>
          <w:tcPr>
            <w:tcW w:w="3240" w:type="dxa"/>
            <w:noWrap/>
            <w:hideMark/>
          </w:tcPr>
          <w:p w14:paraId="1F1324E5" w14:textId="77777777" w:rsidR="00A82E3E" w:rsidRPr="00A82E3E" w:rsidRDefault="00A82E3E" w:rsidP="00A82E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A82E3E">
              <w:rPr>
                <w:rFonts w:asciiTheme="majorHAnsi" w:eastAsia="Times New Roman" w:hAnsiTheme="majorHAnsi" w:cstheme="majorHAnsi"/>
                <w:color w:val="000000"/>
              </w:rPr>
              <w:t xml:space="preserve">Include mandatory assessment for changes impacting both device and drug/biologic constituent parts per 21 CFR Part 4. Clarify </w:t>
            </w:r>
            <w:proofErr w:type="gramStart"/>
            <w:r w:rsidRPr="00A82E3E">
              <w:rPr>
                <w:rFonts w:asciiTheme="majorHAnsi" w:eastAsia="Times New Roman" w:hAnsiTheme="majorHAnsi" w:cstheme="majorHAnsi"/>
                <w:color w:val="000000"/>
              </w:rPr>
              <w:t>need</w:t>
            </w:r>
            <w:proofErr w:type="gramEnd"/>
            <w:r w:rsidRPr="00A82E3E">
              <w:rPr>
                <w:rFonts w:asciiTheme="majorHAnsi" w:eastAsia="Times New Roman" w:hAnsiTheme="majorHAnsi" w:cstheme="majorHAnsi"/>
                <w:color w:val="000000"/>
              </w:rPr>
              <w:t xml:space="preserve"> to assess under 820 and 210/211 as applicable.</w:t>
            </w:r>
          </w:p>
        </w:tc>
        <w:tc>
          <w:tcPr>
            <w:tcW w:w="3226" w:type="dxa"/>
            <w:noWrap/>
            <w:hideMark/>
          </w:tcPr>
          <w:p w14:paraId="3C7B2076" w14:textId="3D36FB67" w:rsidR="00A82E3E" w:rsidRPr="00A82E3E" w:rsidRDefault="00A82E3E" w:rsidP="00A82E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A82E3E">
              <w:rPr>
                <w:rFonts w:asciiTheme="majorHAnsi" w:eastAsia="Times New Roman" w:hAnsiTheme="majorHAnsi" w:cstheme="majorHAnsi"/>
                <w:color w:val="000000"/>
              </w:rPr>
              <w:t>21 CFR Part 4(b)(1); 21 CFR 820.30(</w:t>
            </w:r>
            <w:proofErr w:type="spellStart"/>
            <w:r w:rsidRPr="00A82E3E">
              <w:rPr>
                <w:rFonts w:asciiTheme="majorHAnsi" w:eastAsia="Times New Roman" w:hAnsiTheme="majorHAnsi" w:cstheme="majorHAnsi"/>
                <w:color w:val="000000"/>
              </w:rPr>
              <w:t>i</w:t>
            </w:r>
            <w:proofErr w:type="spellEnd"/>
            <w:r w:rsidRPr="00A82E3E">
              <w:rPr>
                <w:rFonts w:asciiTheme="majorHAnsi" w:eastAsia="Times New Roman" w:hAnsiTheme="majorHAnsi" w:cstheme="majorHAnsi"/>
                <w:color w:val="000000"/>
              </w:rPr>
              <w:t>); 21 CFR 211.100(a)</w:t>
            </w:r>
            <w:r w:rsidR="00F145DA" w:rsidRPr="00A82E3E">
              <w:rPr>
                <w:rFonts w:asciiTheme="majorHAnsi" w:eastAsia="Times New Roman" w:hAnsiTheme="majorHAnsi" w:cstheme="majorHAnsi"/>
                <w:color w:val="000000"/>
              </w:rPr>
              <w:t xml:space="preserve"> </w:t>
            </w:r>
            <w:r w:rsidRPr="00A82E3E">
              <w:rPr>
                <w:rFonts w:asciiTheme="majorHAnsi" w:eastAsia="Times New Roman" w:hAnsiTheme="majorHAnsi" w:cstheme="majorHAnsi"/>
                <w:color w:val="000000"/>
              </w:rPr>
              <w:t>SOP-0028 Change Control Process</w:t>
            </w:r>
          </w:p>
        </w:tc>
      </w:tr>
      <w:tr w:rsidR="00A82E3E" w:rsidRPr="00A82E3E" w14:paraId="03843871" w14:textId="77777777" w:rsidTr="3D09FF86">
        <w:trPr>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EE12EC4" w14:textId="77777777" w:rsidR="00A82E3E" w:rsidRPr="00A82E3E" w:rsidRDefault="00A82E3E" w:rsidP="00A82E3E">
            <w:pPr>
              <w:rPr>
                <w:rFonts w:asciiTheme="majorHAnsi" w:eastAsia="Times New Roman" w:hAnsiTheme="majorHAnsi" w:cstheme="majorHAnsi"/>
                <w:color w:val="000000"/>
              </w:rPr>
            </w:pPr>
            <w:r w:rsidRPr="00A82E3E">
              <w:rPr>
                <w:rFonts w:asciiTheme="majorHAnsi" w:eastAsia="Times New Roman" w:hAnsiTheme="majorHAnsi" w:cstheme="majorHAnsi"/>
                <w:color w:val="000000"/>
              </w:rPr>
              <w:t>Risk management integration is inconsistently addressed.</w:t>
            </w:r>
          </w:p>
        </w:tc>
        <w:tc>
          <w:tcPr>
            <w:tcW w:w="1260" w:type="dxa"/>
            <w:noWrap/>
            <w:hideMark/>
          </w:tcPr>
          <w:p w14:paraId="5FCBE407" w14:textId="77777777" w:rsidR="00A82E3E" w:rsidRPr="00A82E3E" w:rsidRDefault="00A82E3E" w:rsidP="00A82E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rPr>
            </w:pPr>
            <w:r w:rsidRPr="00A82E3E">
              <w:rPr>
                <w:rFonts w:asciiTheme="majorHAnsi" w:eastAsia="Times New Roman" w:hAnsiTheme="majorHAnsi" w:cstheme="majorHAnsi"/>
                <w:b/>
                <w:bCs/>
                <w:color w:val="000000"/>
              </w:rPr>
              <w:t>Moderate</w:t>
            </w:r>
          </w:p>
        </w:tc>
        <w:tc>
          <w:tcPr>
            <w:tcW w:w="3150" w:type="dxa"/>
            <w:noWrap/>
            <w:hideMark/>
          </w:tcPr>
          <w:p w14:paraId="2BF7BDAE" w14:textId="77777777" w:rsidR="00A82E3E" w:rsidRPr="00A82E3E" w:rsidRDefault="00A82E3E" w:rsidP="00A82E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A82E3E">
              <w:rPr>
                <w:rFonts w:asciiTheme="majorHAnsi" w:eastAsia="Times New Roman" w:hAnsiTheme="majorHAnsi" w:cstheme="majorHAnsi"/>
                <w:color w:val="000000"/>
              </w:rPr>
              <w:t>Risk assessment is listed as part of the change package, but the SOP does not reference ISO 14971 or define structured risk control documentation requirements.</w:t>
            </w:r>
          </w:p>
        </w:tc>
        <w:tc>
          <w:tcPr>
            <w:tcW w:w="3240" w:type="dxa"/>
            <w:noWrap/>
            <w:hideMark/>
          </w:tcPr>
          <w:p w14:paraId="5A348D95" w14:textId="77777777" w:rsidR="00A82E3E" w:rsidRPr="00A82E3E" w:rsidRDefault="00A82E3E" w:rsidP="00A82E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A82E3E">
              <w:rPr>
                <w:rFonts w:asciiTheme="majorHAnsi" w:eastAsia="Times New Roman" w:hAnsiTheme="majorHAnsi" w:cstheme="majorHAnsi"/>
                <w:color w:val="000000"/>
              </w:rPr>
              <w:t>Revise to require risk assessment per ISO 14971 for design, process, or supplier-related changes, with documented residual risk evaluation.</w:t>
            </w:r>
          </w:p>
        </w:tc>
        <w:tc>
          <w:tcPr>
            <w:tcW w:w="3226" w:type="dxa"/>
            <w:noWrap/>
            <w:hideMark/>
          </w:tcPr>
          <w:p w14:paraId="2D287103" w14:textId="4D573B2F" w:rsidR="00A82E3E" w:rsidRPr="00A82E3E" w:rsidRDefault="17B00187" w:rsidP="3D09FF8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Bidi"/>
                <w:color w:val="000000"/>
              </w:rPr>
            </w:pPr>
            <w:r w:rsidRPr="3D09FF86">
              <w:rPr>
                <w:rFonts w:asciiTheme="majorHAnsi" w:eastAsia="Times New Roman" w:hAnsiTheme="majorHAnsi" w:cstheme="majorBidi"/>
                <w:color w:val="000000" w:themeColor="text1"/>
              </w:rPr>
              <w:t>ISO 14971:2019 §7; ISO 13485:2016 §7.1</w:t>
            </w:r>
            <w:r w:rsidR="5211CA95" w:rsidRPr="3D09FF86">
              <w:rPr>
                <w:rFonts w:asciiTheme="majorHAnsi" w:eastAsia="Times New Roman" w:hAnsiTheme="majorHAnsi" w:cstheme="majorBidi"/>
                <w:color w:val="000000" w:themeColor="text1"/>
              </w:rPr>
              <w:t xml:space="preserve"> </w:t>
            </w:r>
            <w:r w:rsidRPr="3D09FF86">
              <w:rPr>
                <w:rFonts w:asciiTheme="majorHAnsi" w:eastAsia="Times New Roman" w:hAnsiTheme="majorHAnsi" w:cstheme="majorBidi"/>
                <w:color w:val="000000" w:themeColor="text1"/>
              </w:rPr>
              <w:t>SOP-0028 Change Control Process</w:t>
            </w:r>
          </w:p>
        </w:tc>
      </w:tr>
      <w:tr w:rsidR="00AF6585" w:rsidRPr="00A82E3E" w14:paraId="3A0FEB13" w14:textId="77777777" w:rsidTr="3D09FF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275EAF2" w14:textId="77777777" w:rsidR="00A82E3E" w:rsidRPr="00A82E3E" w:rsidRDefault="00A82E3E" w:rsidP="00A82E3E">
            <w:pPr>
              <w:rPr>
                <w:rFonts w:asciiTheme="majorHAnsi" w:eastAsia="Times New Roman" w:hAnsiTheme="majorHAnsi" w:cstheme="majorHAnsi"/>
                <w:color w:val="000000"/>
              </w:rPr>
            </w:pPr>
            <w:r w:rsidRPr="00A82E3E">
              <w:rPr>
                <w:rFonts w:asciiTheme="majorHAnsi" w:eastAsia="Times New Roman" w:hAnsiTheme="majorHAnsi" w:cstheme="majorHAnsi"/>
                <w:color w:val="000000"/>
              </w:rPr>
              <w:t xml:space="preserve">Absence of linkage to design control SOP </w:t>
            </w:r>
            <w:r w:rsidRPr="00A82E3E">
              <w:rPr>
                <w:rFonts w:asciiTheme="majorHAnsi" w:eastAsia="Times New Roman" w:hAnsiTheme="majorHAnsi" w:cstheme="majorHAnsi"/>
                <w:color w:val="000000"/>
              </w:rPr>
              <w:lastRenderedPageBreak/>
              <w:t>when design is impacted.</w:t>
            </w:r>
          </w:p>
        </w:tc>
        <w:tc>
          <w:tcPr>
            <w:tcW w:w="1260" w:type="dxa"/>
            <w:noWrap/>
            <w:hideMark/>
          </w:tcPr>
          <w:p w14:paraId="00C2F99E" w14:textId="77777777" w:rsidR="00A82E3E" w:rsidRPr="00A82E3E" w:rsidRDefault="00A82E3E" w:rsidP="00A82E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rPr>
            </w:pPr>
            <w:r w:rsidRPr="00A82E3E">
              <w:rPr>
                <w:rFonts w:asciiTheme="majorHAnsi" w:eastAsia="Times New Roman" w:hAnsiTheme="majorHAnsi" w:cstheme="majorHAnsi"/>
                <w:b/>
                <w:bCs/>
                <w:color w:val="000000"/>
              </w:rPr>
              <w:lastRenderedPageBreak/>
              <w:t>Moderate</w:t>
            </w:r>
          </w:p>
        </w:tc>
        <w:tc>
          <w:tcPr>
            <w:tcW w:w="3150" w:type="dxa"/>
            <w:noWrap/>
            <w:hideMark/>
          </w:tcPr>
          <w:p w14:paraId="52EEE29D" w14:textId="77777777" w:rsidR="00A82E3E" w:rsidRPr="00A82E3E" w:rsidRDefault="00A82E3E" w:rsidP="00A82E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A82E3E">
              <w:rPr>
                <w:rFonts w:asciiTheme="majorHAnsi" w:eastAsia="Times New Roman" w:hAnsiTheme="majorHAnsi" w:cstheme="majorHAnsi"/>
                <w:color w:val="000000"/>
              </w:rPr>
              <w:t xml:space="preserve">Design changes are mentioned in general, but there is no reference to </w:t>
            </w:r>
            <w:r w:rsidRPr="00A82E3E">
              <w:rPr>
                <w:rFonts w:asciiTheme="majorHAnsi" w:eastAsia="Times New Roman" w:hAnsiTheme="majorHAnsi" w:cstheme="majorHAnsi"/>
                <w:color w:val="000000"/>
              </w:rPr>
              <w:lastRenderedPageBreak/>
              <w:t>initiating design control processes (e.g., verification/validation, DHF updates).</w:t>
            </w:r>
          </w:p>
        </w:tc>
        <w:tc>
          <w:tcPr>
            <w:tcW w:w="3240" w:type="dxa"/>
            <w:noWrap/>
            <w:hideMark/>
          </w:tcPr>
          <w:p w14:paraId="3178850F" w14:textId="77777777" w:rsidR="00A82E3E" w:rsidRPr="00A82E3E" w:rsidRDefault="00A82E3E" w:rsidP="00A82E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A82E3E">
              <w:rPr>
                <w:rFonts w:asciiTheme="majorHAnsi" w:eastAsia="Times New Roman" w:hAnsiTheme="majorHAnsi" w:cstheme="majorHAnsi"/>
                <w:color w:val="000000"/>
              </w:rPr>
              <w:lastRenderedPageBreak/>
              <w:t xml:space="preserve">Add requirement to initiate procedures from Design Control SOP (SOP-0036) for </w:t>
            </w:r>
            <w:r w:rsidRPr="00A82E3E">
              <w:rPr>
                <w:rFonts w:asciiTheme="majorHAnsi" w:eastAsia="Times New Roman" w:hAnsiTheme="majorHAnsi" w:cstheme="majorHAnsi"/>
                <w:color w:val="000000"/>
              </w:rPr>
              <w:lastRenderedPageBreak/>
              <w:t>any design change affecting form, fit, or function.</w:t>
            </w:r>
          </w:p>
        </w:tc>
        <w:tc>
          <w:tcPr>
            <w:tcW w:w="3226" w:type="dxa"/>
            <w:noWrap/>
            <w:hideMark/>
          </w:tcPr>
          <w:p w14:paraId="779569FC" w14:textId="366A0E17" w:rsidR="00A82E3E" w:rsidRPr="00A82E3E" w:rsidRDefault="00A82E3E" w:rsidP="00A82E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A82E3E">
              <w:rPr>
                <w:rFonts w:asciiTheme="majorHAnsi" w:eastAsia="Times New Roman" w:hAnsiTheme="majorHAnsi" w:cstheme="majorHAnsi"/>
                <w:color w:val="000000"/>
              </w:rPr>
              <w:lastRenderedPageBreak/>
              <w:t>21 CFR 820.30(</w:t>
            </w:r>
            <w:proofErr w:type="spellStart"/>
            <w:r w:rsidRPr="00A82E3E">
              <w:rPr>
                <w:rFonts w:asciiTheme="majorHAnsi" w:eastAsia="Times New Roman" w:hAnsiTheme="majorHAnsi" w:cstheme="majorHAnsi"/>
                <w:color w:val="000000"/>
              </w:rPr>
              <w:t>i</w:t>
            </w:r>
            <w:proofErr w:type="spellEnd"/>
            <w:r w:rsidRPr="00A82E3E">
              <w:rPr>
                <w:rFonts w:asciiTheme="majorHAnsi" w:eastAsia="Times New Roman" w:hAnsiTheme="majorHAnsi" w:cstheme="majorHAnsi"/>
                <w:color w:val="000000"/>
              </w:rPr>
              <w:t>); ISO 13485:2016 §7.3.9SOP-0028 Change Control Process</w:t>
            </w:r>
          </w:p>
        </w:tc>
      </w:tr>
      <w:tr w:rsidR="00A82E3E" w:rsidRPr="00A82E3E" w14:paraId="16D5D75C" w14:textId="77777777" w:rsidTr="3D09FF86">
        <w:trPr>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FB9FB91" w14:textId="77777777" w:rsidR="00A82E3E" w:rsidRPr="00A82E3E" w:rsidRDefault="00A82E3E" w:rsidP="00A82E3E">
            <w:pPr>
              <w:rPr>
                <w:rFonts w:asciiTheme="majorHAnsi" w:eastAsia="Times New Roman" w:hAnsiTheme="majorHAnsi" w:cstheme="majorHAnsi"/>
                <w:color w:val="000000"/>
              </w:rPr>
            </w:pPr>
            <w:r w:rsidRPr="00A82E3E">
              <w:rPr>
                <w:rFonts w:asciiTheme="majorHAnsi" w:eastAsia="Times New Roman" w:hAnsiTheme="majorHAnsi" w:cstheme="majorHAnsi"/>
                <w:color w:val="000000"/>
              </w:rPr>
              <w:t>Lack of defined acceptance criteria for effectiveness checks.</w:t>
            </w:r>
          </w:p>
        </w:tc>
        <w:tc>
          <w:tcPr>
            <w:tcW w:w="1260" w:type="dxa"/>
            <w:noWrap/>
            <w:hideMark/>
          </w:tcPr>
          <w:p w14:paraId="6CF49DF9" w14:textId="77777777" w:rsidR="00A82E3E" w:rsidRPr="00A82E3E" w:rsidRDefault="00A82E3E" w:rsidP="00A82E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rPr>
            </w:pPr>
            <w:r w:rsidRPr="00A82E3E">
              <w:rPr>
                <w:rFonts w:asciiTheme="majorHAnsi" w:eastAsia="Times New Roman" w:hAnsiTheme="majorHAnsi" w:cstheme="majorHAnsi"/>
                <w:b/>
                <w:bCs/>
                <w:color w:val="000000"/>
              </w:rPr>
              <w:t>Minor</w:t>
            </w:r>
          </w:p>
        </w:tc>
        <w:tc>
          <w:tcPr>
            <w:tcW w:w="3150" w:type="dxa"/>
            <w:noWrap/>
            <w:hideMark/>
          </w:tcPr>
          <w:p w14:paraId="7F5D516A" w14:textId="77777777" w:rsidR="00A82E3E" w:rsidRPr="00A82E3E" w:rsidRDefault="00A82E3E" w:rsidP="00A82E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A82E3E">
              <w:rPr>
                <w:rFonts w:asciiTheme="majorHAnsi" w:eastAsia="Times New Roman" w:hAnsiTheme="majorHAnsi" w:cstheme="majorHAnsi"/>
                <w:color w:val="000000"/>
              </w:rPr>
              <w:t xml:space="preserve">Effectiveness checks are </w:t>
            </w:r>
            <w:proofErr w:type="gramStart"/>
            <w:r w:rsidRPr="00A82E3E">
              <w:rPr>
                <w:rFonts w:asciiTheme="majorHAnsi" w:eastAsia="Times New Roman" w:hAnsiTheme="majorHAnsi" w:cstheme="majorHAnsi"/>
                <w:color w:val="000000"/>
              </w:rPr>
              <w:t>required</w:t>
            </w:r>
            <w:proofErr w:type="gramEnd"/>
            <w:r w:rsidRPr="00A82E3E">
              <w:rPr>
                <w:rFonts w:asciiTheme="majorHAnsi" w:eastAsia="Times New Roman" w:hAnsiTheme="majorHAnsi" w:cstheme="majorHAnsi"/>
                <w:color w:val="000000"/>
              </w:rPr>
              <w:t xml:space="preserve"> post-implementation but are not required to include measurable success criteria.</w:t>
            </w:r>
          </w:p>
        </w:tc>
        <w:tc>
          <w:tcPr>
            <w:tcW w:w="3240" w:type="dxa"/>
            <w:noWrap/>
            <w:hideMark/>
          </w:tcPr>
          <w:p w14:paraId="3A09485E" w14:textId="77777777" w:rsidR="00A82E3E" w:rsidRPr="00A82E3E" w:rsidRDefault="00A82E3E" w:rsidP="00A82E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A82E3E">
              <w:rPr>
                <w:rFonts w:asciiTheme="majorHAnsi" w:eastAsia="Times New Roman" w:hAnsiTheme="majorHAnsi" w:cstheme="majorHAnsi"/>
                <w:color w:val="000000"/>
              </w:rPr>
              <w:t>Mandate that effectiveness check plans include measurable acceptance criteria aligned with intended objectives of the change.</w:t>
            </w:r>
          </w:p>
        </w:tc>
        <w:tc>
          <w:tcPr>
            <w:tcW w:w="3226" w:type="dxa"/>
            <w:noWrap/>
            <w:hideMark/>
          </w:tcPr>
          <w:p w14:paraId="112A178B" w14:textId="7BE9152B" w:rsidR="00A82E3E" w:rsidRPr="00A82E3E" w:rsidRDefault="00A82E3E" w:rsidP="00A82E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A82E3E">
              <w:rPr>
                <w:rFonts w:asciiTheme="majorHAnsi" w:eastAsia="Times New Roman" w:hAnsiTheme="majorHAnsi" w:cstheme="majorHAnsi"/>
                <w:color w:val="000000"/>
              </w:rPr>
              <w:t>21 CFR 820.100(a)(4); ISO 13485:2016 §8.5.2</w:t>
            </w:r>
            <w:r w:rsidR="00176512" w:rsidRPr="00F145DA">
              <w:rPr>
                <w:rFonts w:asciiTheme="majorHAnsi" w:eastAsia="Times New Roman" w:hAnsiTheme="majorHAnsi" w:cstheme="majorHAnsi"/>
                <w:color w:val="000000"/>
              </w:rPr>
              <w:t xml:space="preserve"> </w:t>
            </w:r>
            <w:r w:rsidRPr="00A82E3E">
              <w:rPr>
                <w:rFonts w:asciiTheme="majorHAnsi" w:eastAsia="Times New Roman" w:hAnsiTheme="majorHAnsi" w:cstheme="majorHAnsi"/>
                <w:color w:val="000000"/>
              </w:rPr>
              <w:t>SOP-0028 Change Control Process</w:t>
            </w:r>
          </w:p>
        </w:tc>
      </w:tr>
      <w:tr w:rsidR="00AF6585" w:rsidRPr="00A82E3E" w14:paraId="00ED2AA0" w14:textId="77777777" w:rsidTr="3D09FF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24B3B02D" w14:textId="77777777" w:rsidR="00A82E3E" w:rsidRPr="00A82E3E" w:rsidRDefault="00A82E3E" w:rsidP="00A82E3E">
            <w:pPr>
              <w:rPr>
                <w:rFonts w:asciiTheme="majorHAnsi" w:eastAsia="Times New Roman" w:hAnsiTheme="majorHAnsi" w:cstheme="majorHAnsi"/>
                <w:color w:val="000000"/>
              </w:rPr>
            </w:pPr>
            <w:r w:rsidRPr="00A82E3E">
              <w:rPr>
                <w:rFonts w:asciiTheme="majorHAnsi" w:eastAsia="Times New Roman" w:hAnsiTheme="majorHAnsi" w:cstheme="majorHAnsi"/>
                <w:color w:val="000000"/>
              </w:rPr>
              <w:t>Training assessment lacks integration with document control lifecycle.</w:t>
            </w:r>
          </w:p>
        </w:tc>
        <w:tc>
          <w:tcPr>
            <w:tcW w:w="1260" w:type="dxa"/>
            <w:noWrap/>
            <w:hideMark/>
          </w:tcPr>
          <w:p w14:paraId="1C7A7A54" w14:textId="77777777" w:rsidR="00A82E3E" w:rsidRPr="00A82E3E" w:rsidRDefault="00A82E3E" w:rsidP="00A82E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rPr>
            </w:pPr>
            <w:r w:rsidRPr="00A82E3E">
              <w:rPr>
                <w:rFonts w:asciiTheme="majorHAnsi" w:eastAsia="Times New Roman" w:hAnsiTheme="majorHAnsi" w:cstheme="majorHAnsi"/>
                <w:b/>
                <w:bCs/>
                <w:color w:val="000000"/>
              </w:rPr>
              <w:t>Minor</w:t>
            </w:r>
          </w:p>
        </w:tc>
        <w:tc>
          <w:tcPr>
            <w:tcW w:w="3150" w:type="dxa"/>
            <w:noWrap/>
            <w:hideMark/>
          </w:tcPr>
          <w:p w14:paraId="21B3A309" w14:textId="77777777" w:rsidR="00A82E3E" w:rsidRPr="00A82E3E" w:rsidRDefault="00A82E3E" w:rsidP="00A82E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A82E3E">
              <w:rPr>
                <w:rFonts w:asciiTheme="majorHAnsi" w:eastAsia="Times New Roman" w:hAnsiTheme="majorHAnsi" w:cstheme="majorHAnsi"/>
                <w:color w:val="000000"/>
              </w:rPr>
              <w:t>Training impact is evaluated, but there's no link to document control system to ensure procedural revisions trigger training tasks.</w:t>
            </w:r>
          </w:p>
        </w:tc>
        <w:tc>
          <w:tcPr>
            <w:tcW w:w="3240" w:type="dxa"/>
            <w:noWrap/>
            <w:hideMark/>
          </w:tcPr>
          <w:p w14:paraId="038264CB" w14:textId="77777777" w:rsidR="00A82E3E" w:rsidRPr="00A82E3E" w:rsidRDefault="00A82E3E" w:rsidP="00A82E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A82E3E">
              <w:rPr>
                <w:rFonts w:asciiTheme="majorHAnsi" w:eastAsia="Times New Roman" w:hAnsiTheme="majorHAnsi" w:cstheme="majorHAnsi"/>
                <w:color w:val="000000"/>
              </w:rPr>
              <w:t>Integrate document control SOP reference and require training task generation upon approval of changes impacting controlled documents.</w:t>
            </w:r>
          </w:p>
        </w:tc>
        <w:tc>
          <w:tcPr>
            <w:tcW w:w="3226" w:type="dxa"/>
            <w:noWrap/>
            <w:hideMark/>
          </w:tcPr>
          <w:p w14:paraId="3C616F07" w14:textId="4C6478DA" w:rsidR="00A82E3E" w:rsidRPr="00A82E3E" w:rsidRDefault="00A82E3E" w:rsidP="00A82E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A82E3E">
              <w:rPr>
                <w:rFonts w:asciiTheme="majorHAnsi" w:eastAsia="Times New Roman" w:hAnsiTheme="majorHAnsi" w:cstheme="majorHAnsi"/>
                <w:color w:val="000000"/>
              </w:rPr>
              <w:t>ISO 13485:2016 §6.2; 21 CFR 820.25(b)</w:t>
            </w:r>
            <w:r w:rsidR="00176512" w:rsidRPr="00F145DA">
              <w:rPr>
                <w:rFonts w:asciiTheme="majorHAnsi" w:eastAsia="Times New Roman" w:hAnsiTheme="majorHAnsi" w:cstheme="majorHAnsi"/>
                <w:color w:val="000000"/>
              </w:rPr>
              <w:t xml:space="preserve"> </w:t>
            </w:r>
            <w:r w:rsidRPr="00A82E3E">
              <w:rPr>
                <w:rFonts w:asciiTheme="majorHAnsi" w:eastAsia="Times New Roman" w:hAnsiTheme="majorHAnsi" w:cstheme="majorHAnsi"/>
                <w:color w:val="000000"/>
              </w:rPr>
              <w:t>SOP-0028 Change Control Process</w:t>
            </w:r>
          </w:p>
        </w:tc>
      </w:tr>
    </w:tbl>
    <w:p w14:paraId="0D079864" w14:textId="77777777" w:rsidR="00A82E3E" w:rsidRPr="00F145DA" w:rsidRDefault="00A82E3E" w:rsidP="00FF5752">
      <w:pPr>
        <w:rPr>
          <w:rFonts w:asciiTheme="majorHAnsi" w:hAnsiTheme="majorHAnsi" w:cstheme="majorHAnsi"/>
          <w:b/>
          <w:bCs/>
        </w:rPr>
      </w:pPr>
    </w:p>
    <w:p w14:paraId="4C96B033" w14:textId="77777777" w:rsidR="00A82E3E" w:rsidRPr="00F145DA" w:rsidRDefault="00A82E3E" w:rsidP="00FF5752">
      <w:pPr>
        <w:rPr>
          <w:rFonts w:asciiTheme="majorHAnsi" w:hAnsiTheme="majorHAnsi" w:cstheme="majorHAnsi"/>
          <w:b/>
          <w:bCs/>
        </w:rPr>
      </w:pPr>
    </w:p>
    <w:p w14:paraId="4DA962A3" w14:textId="776DDBD0" w:rsidR="00FF5752" w:rsidRPr="00FF5752" w:rsidRDefault="00FF5752" w:rsidP="00FF5752">
      <w:pPr>
        <w:rPr>
          <w:rFonts w:asciiTheme="majorHAnsi" w:hAnsiTheme="majorHAnsi" w:cstheme="majorHAnsi"/>
          <w:b/>
          <w:bCs/>
        </w:rPr>
      </w:pPr>
      <w:r w:rsidRPr="00FF5752">
        <w:rPr>
          <w:rFonts w:asciiTheme="majorHAnsi" w:hAnsiTheme="majorHAnsi" w:cstheme="majorHAnsi"/>
          <w:b/>
          <w:bCs/>
        </w:rPr>
        <w:t>Critical and Moderate Findings Summary</w:t>
      </w:r>
    </w:p>
    <w:tbl>
      <w:tblPr>
        <w:tblStyle w:val="GridTable2-Accent3"/>
        <w:tblW w:w="0" w:type="auto"/>
        <w:tblLook w:val="04A0" w:firstRow="1" w:lastRow="0" w:firstColumn="1" w:lastColumn="0" w:noHBand="0" w:noVBand="1"/>
      </w:tblPr>
      <w:tblGrid>
        <w:gridCol w:w="1182"/>
        <w:gridCol w:w="6296"/>
        <w:gridCol w:w="5482"/>
      </w:tblGrid>
      <w:tr w:rsidR="00FF5752" w:rsidRPr="00FF5752" w14:paraId="103F79A7" w14:textId="77777777" w:rsidTr="00113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39DE6E" w14:textId="77777777" w:rsidR="00FF5752" w:rsidRPr="00FF5752" w:rsidRDefault="00FF5752" w:rsidP="00FF5752">
            <w:pPr>
              <w:rPr>
                <w:rFonts w:asciiTheme="majorHAnsi" w:hAnsiTheme="majorHAnsi" w:cstheme="majorHAnsi"/>
              </w:rPr>
            </w:pPr>
            <w:r w:rsidRPr="00FF5752">
              <w:rPr>
                <w:rFonts w:asciiTheme="majorHAnsi" w:hAnsiTheme="majorHAnsi" w:cstheme="majorHAnsi"/>
              </w:rPr>
              <w:t>Severity</w:t>
            </w:r>
          </w:p>
        </w:tc>
        <w:tc>
          <w:tcPr>
            <w:tcW w:w="0" w:type="auto"/>
            <w:hideMark/>
          </w:tcPr>
          <w:p w14:paraId="25170C49" w14:textId="77777777" w:rsidR="00FF5752" w:rsidRPr="00FF5752" w:rsidRDefault="00FF5752" w:rsidP="00FF575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F5752">
              <w:rPr>
                <w:rFonts w:asciiTheme="majorHAnsi" w:hAnsiTheme="majorHAnsi" w:cstheme="majorHAnsi"/>
              </w:rPr>
              <w:t>Issue</w:t>
            </w:r>
          </w:p>
        </w:tc>
        <w:tc>
          <w:tcPr>
            <w:tcW w:w="0" w:type="auto"/>
            <w:hideMark/>
          </w:tcPr>
          <w:p w14:paraId="003F1CC6" w14:textId="77777777" w:rsidR="00FF5752" w:rsidRPr="00FF5752" w:rsidRDefault="00FF5752" w:rsidP="00FF575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F5752">
              <w:rPr>
                <w:rFonts w:asciiTheme="majorHAnsi" w:hAnsiTheme="majorHAnsi" w:cstheme="majorHAnsi"/>
              </w:rPr>
              <w:t>Implication</w:t>
            </w:r>
          </w:p>
        </w:tc>
      </w:tr>
      <w:tr w:rsidR="00FF5752" w:rsidRPr="00FF5752" w14:paraId="4CA5FC99" w14:textId="77777777" w:rsidTr="00113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2AA51A" w14:textId="77777777" w:rsidR="00FF5752" w:rsidRPr="00FF5752" w:rsidRDefault="00FF5752" w:rsidP="00FF5752">
            <w:pPr>
              <w:rPr>
                <w:rFonts w:asciiTheme="majorHAnsi" w:hAnsiTheme="majorHAnsi" w:cstheme="majorHAnsi"/>
              </w:rPr>
            </w:pPr>
            <w:r w:rsidRPr="00FF5752">
              <w:rPr>
                <w:rFonts w:asciiTheme="majorHAnsi" w:hAnsiTheme="majorHAnsi" w:cstheme="majorHAnsi"/>
              </w:rPr>
              <w:t>Critical</w:t>
            </w:r>
          </w:p>
        </w:tc>
        <w:tc>
          <w:tcPr>
            <w:tcW w:w="0" w:type="auto"/>
            <w:hideMark/>
          </w:tcPr>
          <w:p w14:paraId="750CCFCF" w14:textId="77777777" w:rsidR="00FF5752" w:rsidRPr="00FF5752" w:rsidRDefault="00FF5752" w:rsidP="00FF575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F5752">
              <w:rPr>
                <w:rFonts w:asciiTheme="majorHAnsi" w:hAnsiTheme="majorHAnsi" w:cstheme="majorHAnsi"/>
              </w:rPr>
              <w:t xml:space="preserve">No formal mechanism to assess change impact on </w:t>
            </w:r>
            <w:r w:rsidRPr="00D85799">
              <w:rPr>
                <w:rFonts w:asciiTheme="majorHAnsi" w:hAnsiTheme="majorHAnsi" w:cstheme="majorHAnsi"/>
              </w:rPr>
              <w:t>combination product CGMPs</w:t>
            </w:r>
          </w:p>
        </w:tc>
        <w:tc>
          <w:tcPr>
            <w:tcW w:w="0" w:type="auto"/>
            <w:hideMark/>
          </w:tcPr>
          <w:p w14:paraId="078D23E0" w14:textId="77777777" w:rsidR="00FF5752" w:rsidRPr="00FF5752" w:rsidRDefault="00FF5752" w:rsidP="00FF575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F5752">
              <w:rPr>
                <w:rFonts w:asciiTheme="majorHAnsi" w:hAnsiTheme="majorHAnsi" w:cstheme="majorHAnsi"/>
              </w:rPr>
              <w:t>High compliance risk under 21 CFR Part 4 for dual-regulated products</w:t>
            </w:r>
          </w:p>
        </w:tc>
      </w:tr>
      <w:tr w:rsidR="00FF5752" w:rsidRPr="00FF5752" w14:paraId="16B40B5E" w14:textId="77777777" w:rsidTr="00113162">
        <w:tc>
          <w:tcPr>
            <w:cnfStyle w:val="001000000000" w:firstRow="0" w:lastRow="0" w:firstColumn="1" w:lastColumn="0" w:oddVBand="0" w:evenVBand="0" w:oddHBand="0" w:evenHBand="0" w:firstRowFirstColumn="0" w:firstRowLastColumn="0" w:lastRowFirstColumn="0" w:lastRowLastColumn="0"/>
            <w:tcW w:w="0" w:type="auto"/>
            <w:hideMark/>
          </w:tcPr>
          <w:p w14:paraId="16D86A94" w14:textId="77777777" w:rsidR="00FF5752" w:rsidRPr="00FF5752" w:rsidRDefault="00FF5752" w:rsidP="00FF5752">
            <w:pPr>
              <w:rPr>
                <w:rFonts w:asciiTheme="majorHAnsi" w:hAnsiTheme="majorHAnsi" w:cstheme="majorHAnsi"/>
              </w:rPr>
            </w:pPr>
            <w:r w:rsidRPr="00FF5752">
              <w:rPr>
                <w:rFonts w:asciiTheme="majorHAnsi" w:hAnsiTheme="majorHAnsi" w:cstheme="majorHAnsi"/>
              </w:rPr>
              <w:t>Moderate</w:t>
            </w:r>
          </w:p>
        </w:tc>
        <w:tc>
          <w:tcPr>
            <w:tcW w:w="0" w:type="auto"/>
            <w:hideMark/>
          </w:tcPr>
          <w:p w14:paraId="077D5FF3" w14:textId="77777777" w:rsidR="00FF5752" w:rsidRPr="00FF5752" w:rsidRDefault="00FF5752" w:rsidP="00FF575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F5752">
              <w:rPr>
                <w:rFonts w:asciiTheme="majorHAnsi" w:hAnsiTheme="majorHAnsi" w:cstheme="majorHAnsi"/>
              </w:rPr>
              <w:t>Risk management activities are inconsistently defined and lack ISO 14971 traceability</w:t>
            </w:r>
          </w:p>
        </w:tc>
        <w:tc>
          <w:tcPr>
            <w:tcW w:w="0" w:type="auto"/>
            <w:hideMark/>
          </w:tcPr>
          <w:p w14:paraId="6FD698E2" w14:textId="77777777" w:rsidR="00FF5752" w:rsidRPr="00FF5752" w:rsidRDefault="00FF5752" w:rsidP="00FF575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F5752">
              <w:rPr>
                <w:rFonts w:asciiTheme="majorHAnsi" w:hAnsiTheme="majorHAnsi" w:cstheme="majorHAnsi"/>
              </w:rPr>
              <w:t>Risk documentation may be incomplete or inadequate</w:t>
            </w:r>
          </w:p>
        </w:tc>
      </w:tr>
      <w:tr w:rsidR="00FF5752" w:rsidRPr="00FF5752" w14:paraId="1AA562B6" w14:textId="77777777" w:rsidTr="00113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24D2F8" w14:textId="77777777" w:rsidR="00FF5752" w:rsidRPr="00FF5752" w:rsidRDefault="00FF5752" w:rsidP="00FF5752">
            <w:pPr>
              <w:rPr>
                <w:rFonts w:asciiTheme="majorHAnsi" w:hAnsiTheme="majorHAnsi" w:cstheme="majorHAnsi"/>
              </w:rPr>
            </w:pPr>
            <w:r w:rsidRPr="00FF5752">
              <w:rPr>
                <w:rFonts w:asciiTheme="majorHAnsi" w:hAnsiTheme="majorHAnsi" w:cstheme="majorHAnsi"/>
              </w:rPr>
              <w:t>Moderate</w:t>
            </w:r>
          </w:p>
        </w:tc>
        <w:tc>
          <w:tcPr>
            <w:tcW w:w="0" w:type="auto"/>
            <w:hideMark/>
          </w:tcPr>
          <w:p w14:paraId="63BE21F3" w14:textId="77777777" w:rsidR="00FF5752" w:rsidRPr="006B2647" w:rsidRDefault="00FF5752" w:rsidP="00FF575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B2647">
              <w:rPr>
                <w:rFonts w:asciiTheme="majorHAnsi" w:hAnsiTheme="majorHAnsi" w:cstheme="majorHAnsi"/>
              </w:rPr>
              <w:t>No procedural trigger to engage design control requirements when design is affected</w:t>
            </w:r>
          </w:p>
        </w:tc>
        <w:tc>
          <w:tcPr>
            <w:tcW w:w="0" w:type="auto"/>
            <w:hideMark/>
          </w:tcPr>
          <w:p w14:paraId="1029476A" w14:textId="77777777" w:rsidR="00FF5752" w:rsidRPr="00FF5752" w:rsidRDefault="00FF5752" w:rsidP="00FF575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F5752">
              <w:rPr>
                <w:rFonts w:asciiTheme="majorHAnsi" w:hAnsiTheme="majorHAnsi" w:cstheme="majorHAnsi"/>
              </w:rPr>
              <w:t>Risks omission of verification/validation and DHF updates</w:t>
            </w:r>
          </w:p>
        </w:tc>
      </w:tr>
    </w:tbl>
    <w:p w14:paraId="55C8923E" w14:textId="77777777" w:rsidR="00FF5752" w:rsidRPr="00FF5752" w:rsidRDefault="00656355" w:rsidP="00FF5752">
      <w:pPr>
        <w:rPr>
          <w:rFonts w:asciiTheme="majorHAnsi" w:hAnsiTheme="majorHAnsi" w:cstheme="majorHAnsi"/>
        </w:rPr>
      </w:pPr>
      <w:r>
        <w:rPr>
          <w:rFonts w:asciiTheme="majorHAnsi" w:hAnsiTheme="majorHAnsi" w:cstheme="majorHAnsi"/>
        </w:rPr>
        <w:pict w14:anchorId="3EE941A5">
          <v:rect id="_x0000_i1035" style="width:0;height:1.5pt" o:hralign="center" o:hrstd="t" o:hr="t" fillcolor="#a0a0a0" stroked="f"/>
        </w:pict>
      </w:r>
    </w:p>
    <w:p w14:paraId="047262A0" w14:textId="701342CC" w:rsidR="00DC423E" w:rsidRDefault="00DC423E">
      <w:pPr>
        <w:rPr>
          <w:rFonts w:asciiTheme="majorHAnsi" w:hAnsiTheme="majorHAnsi" w:cstheme="majorHAnsi"/>
        </w:rPr>
      </w:pPr>
      <w:r>
        <w:rPr>
          <w:rFonts w:asciiTheme="majorHAnsi" w:hAnsiTheme="majorHAnsi" w:cstheme="majorHAnsi"/>
        </w:rPr>
        <w:br w:type="page"/>
      </w:r>
    </w:p>
    <w:p w14:paraId="2DF671DD" w14:textId="77777777" w:rsidR="00FF5752" w:rsidRDefault="00FF5752" w:rsidP="00D00E17">
      <w:pPr>
        <w:rPr>
          <w:rFonts w:asciiTheme="majorHAnsi" w:hAnsiTheme="majorHAnsi" w:cstheme="majorHAnsi"/>
        </w:rPr>
      </w:pPr>
    </w:p>
    <w:p w14:paraId="16590F40" w14:textId="7DAD48A7" w:rsidR="00D801AA" w:rsidRPr="004E2C59" w:rsidRDefault="00D801AA" w:rsidP="00D801AA">
      <w:pPr>
        <w:spacing w:before="100" w:beforeAutospacing="1" w:after="100" w:afterAutospacing="1"/>
        <w:outlineLvl w:val="2"/>
        <w:rPr>
          <w:rFonts w:asciiTheme="majorHAnsi" w:eastAsia="Times New Roman" w:hAnsiTheme="majorHAnsi" w:cstheme="majorHAnsi"/>
          <w:b/>
          <w:bCs/>
          <w:sz w:val="28"/>
          <w:szCs w:val="28"/>
        </w:rPr>
      </w:pPr>
      <w:r w:rsidRPr="004E2C59">
        <w:rPr>
          <w:rFonts w:asciiTheme="majorHAnsi" w:eastAsia="Times New Roman" w:hAnsiTheme="majorHAnsi" w:cstheme="majorHAnsi"/>
          <w:b/>
          <w:bCs/>
          <w:sz w:val="28"/>
          <w:szCs w:val="28"/>
        </w:rPr>
        <w:t>Document Reviewed: SOP-00</w:t>
      </w:r>
      <w:r>
        <w:rPr>
          <w:rFonts w:asciiTheme="majorHAnsi" w:eastAsia="Times New Roman" w:hAnsiTheme="majorHAnsi" w:cstheme="majorHAnsi"/>
          <w:b/>
          <w:bCs/>
          <w:sz w:val="28"/>
          <w:szCs w:val="28"/>
        </w:rPr>
        <w:t>29: Corrective and Preventative Action (CAPA) Procedure</w:t>
      </w:r>
    </w:p>
    <w:p w14:paraId="2D790246" w14:textId="77777777" w:rsidR="00D801AA" w:rsidRPr="00F145DA" w:rsidRDefault="00D801AA" w:rsidP="00D00E17">
      <w:pPr>
        <w:rPr>
          <w:rFonts w:asciiTheme="majorHAnsi" w:hAnsiTheme="majorHAnsi" w:cstheme="majorHAnsi"/>
        </w:rPr>
      </w:pPr>
    </w:p>
    <w:p w14:paraId="39C7CCBA" w14:textId="7BC92D4B" w:rsidR="00383589" w:rsidRDefault="00383589" w:rsidP="00383589">
      <w:pPr>
        <w:rPr>
          <w:rFonts w:asciiTheme="majorHAnsi" w:hAnsiTheme="majorHAnsi" w:cstheme="majorHAnsi"/>
        </w:rPr>
      </w:pPr>
      <w:r w:rsidRPr="00383589">
        <w:rPr>
          <w:rFonts w:asciiTheme="majorHAnsi" w:hAnsiTheme="majorHAnsi" w:cstheme="majorHAnsi"/>
        </w:rPr>
        <w:t xml:space="preserve">The table presented provides a detailed compliance assessment </w:t>
      </w:r>
      <w:proofErr w:type="gramStart"/>
      <w:r w:rsidRPr="00383589">
        <w:rPr>
          <w:rFonts w:asciiTheme="majorHAnsi" w:hAnsiTheme="majorHAnsi" w:cstheme="majorHAnsi"/>
        </w:rPr>
        <w:t>against</w:t>
      </w:r>
      <w:proofErr w:type="gramEnd"/>
      <w:r w:rsidRPr="00383589">
        <w:rPr>
          <w:rFonts w:asciiTheme="majorHAnsi" w:hAnsiTheme="majorHAnsi" w:cstheme="majorHAnsi"/>
        </w:rPr>
        <w:t>:</w:t>
      </w:r>
    </w:p>
    <w:p w14:paraId="5083DD07" w14:textId="77777777" w:rsidR="005B04E1" w:rsidRPr="00383589" w:rsidRDefault="005B04E1" w:rsidP="00383589">
      <w:pPr>
        <w:rPr>
          <w:rFonts w:asciiTheme="majorHAnsi" w:hAnsiTheme="majorHAnsi" w:cstheme="majorHAnsi"/>
        </w:rPr>
      </w:pPr>
    </w:p>
    <w:p w14:paraId="4105DF86" w14:textId="77777777" w:rsidR="00383589" w:rsidRPr="005B04E1" w:rsidRDefault="00383589" w:rsidP="00383589">
      <w:pPr>
        <w:numPr>
          <w:ilvl w:val="0"/>
          <w:numId w:val="9"/>
        </w:numPr>
        <w:rPr>
          <w:rFonts w:asciiTheme="majorHAnsi" w:hAnsiTheme="majorHAnsi" w:cstheme="majorHAnsi"/>
        </w:rPr>
      </w:pPr>
      <w:r w:rsidRPr="005B04E1">
        <w:rPr>
          <w:rFonts w:asciiTheme="majorHAnsi" w:hAnsiTheme="majorHAnsi" w:cstheme="majorHAnsi"/>
        </w:rPr>
        <w:t>21 CFR 820.100</w:t>
      </w:r>
    </w:p>
    <w:p w14:paraId="195CFD5C" w14:textId="77777777" w:rsidR="00383589" w:rsidRPr="005B04E1" w:rsidRDefault="00383589" w:rsidP="00383589">
      <w:pPr>
        <w:numPr>
          <w:ilvl w:val="0"/>
          <w:numId w:val="9"/>
        </w:numPr>
        <w:rPr>
          <w:rFonts w:asciiTheme="majorHAnsi" w:hAnsiTheme="majorHAnsi" w:cstheme="majorHAnsi"/>
        </w:rPr>
      </w:pPr>
      <w:r w:rsidRPr="005B04E1">
        <w:rPr>
          <w:rFonts w:asciiTheme="majorHAnsi" w:hAnsiTheme="majorHAnsi" w:cstheme="majorHAnsi"/>
        </w:rPr>
        <w:t>ISO 13485:2016, particularly clauses 8.4 and 8.5</w:t>
      </w:r>
    </w:p>
    <w:p w14:paraId="1F70788F" w14:textId="77777777" w:rsidR="00383589" w:rsidRPr="005B04E1" w:rsidRDefault="00383589" w:rsidP="00383589">
      <w:pPr>
        <w:numPr>
          <w:ilvl w:val="0"/>
          <w:numId w:val="9"/>
        </w:numPr>
        <w:rPr>
          <w:rFonts w:asciiTheme="majorHAnsi" w:hAnsiTheme="majorHAnsi" w:cstheme="majorHAnsi"/>
        </w:rPr>
      </w:pPr>
      <w:r w:rsidRPr="005B04E1">
        <w:rPr>
          <w:rFonts w:asciiTheme="majorHAnsi" w:hAnsiTheme="majorHAnsi" w:cstheme="majorHAnsi"/>
        </w:rPr>
        <w:t>ISO 14971:2019, where risk management integration is relevant</w:t>
      </w:r>
    </w:p>
    <w:p w14:paraId="38CDBA06" w14:textId="77777777" w:rsidR="00383589" w:rsidRPr="00383589" w:rsidRDefault="00656355" w:rsidP="00383589">
      <w:pPr>
        <w:rPr>
          <w:rFonts w:asciiTheme="majorHAnsi" w:hAnsiTheme="majorHAnsi" w:cstheme="majorHAnsi"/>
        </w:rPr>
      </w:pPr>
      <w:r>
        <w:rPr>
          <w:rFonts w:asciiTheme="majorHAnsi" w:hAnsiTheme="majorHAnsi" w:cstheme="majorHAnsi"/>
        </w:rPr>
        <w:pict w14:anchorId="6C96750B">
          <v:rect id="_x0000_i1036" style="width:0;height:1.5pt" o:hralign="center" o:hrstd="t" o:hr="t" fillcolor="#a0a0a0" stroked="f"/>
        </w:pict>
      </w:r>
    </w:p>
    <w:p w14:paraId="1CBD5351" w14:textId="77777777" w:rsidR="00383589" w:rsidRPr="00F145DA" w:rsidRDefault="00383589" w:rsidP="00383589">
      <w:pPr>
        <w:rPr>
          <w:rFonts w:asciiTheme="majorHAnsi" w:hAnsiTheme="majorHAnsi" w:cstheme="majorHAnsi"/>
          <w:b/>
          <w:bCs/>
        </w:rPr>
      </w:pPr>
    </w:p>
    <w:p w14:paraId="6861C784" w14:textId="77777777" w:rsidR="00383589" w:rsidRPr="00F145DA" w:rsidRDefault="00383589" w:rsidP="00383589">
      <w:pPr>
        <w:rPr>
          <w:rFonts w:asciiTheme="majorHAnsi" w:hAnsiTheme="majorHAnsi" w:cstheme="majorHAnsi"/>
          <w:b/>
          <w:bCs/>
        </w:rPr>
      </w:pPr>
    </w:p>
    <w:tbl>
      <w:tblPr>
        <w:tblStyle w:val="GridTable2-Accent3"/>
        <w:tblW w:w="13821" w:type="dxa"/>
        <w:tblLook w:val="04A0" w:firstRow="1" w:lastRow="0" w:firstColumn="1" w:lastColumn="0" w:noHBand="0" w:noVBand="1"/>
      </w:tblPr>
      <w:tblGrid>
        <w:gridCol w:w="2250"/>
        <w:gridCol w:w="1440"/>
        <w:gridCol w:w="3420"/>
        <w:gridCol w:w="3420"/>
        <w:gridCol w:w="3291"/>
      </w:tblGrid>
      <w:tr w:rsidR="00AF6585" w:rsidRPr="00F145DA" w14:paraId="52BF3EA3" w14:textId="77777777" w:rsidTr="3D09FF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noWrap/>
            <w:hideMark/>
          </w:tcPr>
          <w:p w14:paraId="74E43FE6" w14:textId="77777777" w:rsidR="00E40C13" w:rsidRPr="00E40C13" w:rsidRDefault="00E40C13" w:rsidP="00E40C13">
            <w:pPr>
              <w:rPr>
                <w:rFonts w:asciiTheme="majorHAnsi" w:eastAsia="Times New Roman" w:hAnsiTheme="majorHAnsi" w:cstheme="majorHAnsi"/>
                <w:color w:val="000000"/>
              </w:rPr>
            </w:pPr>
            <w:r w:rsidRPr="00E40C13">
              <w:rPr>
                <w:rFonts w:asciiTheme="majorHAnsi" w:eastAsia="Times New Roman" w:hAnsiTheme="majorHAnsi" w:cstheme="majorHAnsi"/>
                <w:color w:val="000000"/>
              </w:rPr>
              <w:t>Issue Description</w:t>
            </w:r>
          </w:p>
        </w:tc>
        <w:tc>
          <w:tcPr>
            <w:tcW w:w="1440" w:type="dxa"/>
            <w:noWrap/>
            <w:hideMark/>
          </w:tcPr>
          <w:p w14:paraId="73744B9E" w14:textId="77777777" w:rsidR="00E40C13" w:rsidRPr="00E40C13" w:rsidRDefault="00E40C13" w:rsidP="00E40C13">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E40C13">
              <w:rPr>
                <w:rFonts w:asciiTheme="majorHAnsi" w:eastAsia="Times New Roman" w:hAnsiTheme="majorHAnsi" w:cstheme="majorHAnsi"/>
                <w:color w:val="000000"/>
              </w:rPr>
              <w:t>Severity Level</w:t>
            </w:r>
          </w:p>
        </w:tc>
        <w:tc>
          <w:tcPr>
            <w:tcW w:w="3420" w:type="dxa"/>
            <w:noWrap/>
            <w:hideMark/>
          </w:tcPr>
          <w:p w14:paraId="4F85F059" w14:textId="77777777" w:rsidR="00E40C13" w:rsidRPr="00E40C13" w:rsidRDefault="00E40C13" w:rsidP="00E40C13">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E40C13">
              <w:rPr>
                <w:rFonts w:asciiTheme="majorHAnsi" w:eastAsia="Times New Roman" w:hAnsiTheme="majorHAnsi" w:cstheme="majorHAnsi"/>
                <w:color w:val="000000"/>
              </w:rPr>
              <w:t>Original Excerpt</w:t>
            </w:r>
          </w:p>
        </w:tc>
        <w:tc>
          <w:tcPr>
            <w:tcW w:w="3420" w:type="dxa"/>
            <w:noWrap/>
            <w:hideMark/>
          </w:tcPr>
          <w:p w14:paraId="60625B39" w14:textId="77777777" w:rsidR="00E40C13" w:rsidRPr="00E40C13" w:rsidRDefault="00E40C13" w:rsidP="00E40C13">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E40C13">
              <w:rPr>
                <w:rFonts w:asciiTheme="majorHAnsi" w:eastAsia="Times New Roman" w:hAnsiTheme="majorHAnsi" w:cstheme="majorHAnsi"/>
                <w:color w:val="000000"/>
              </w:rPr>
              <w:t>Recommended Revision</w:t>
            </w:r>
          </w:p>
        </w:tc>
        <w:tc>
          <w:tcPr>
            <w:tcW w:w="3291" w:type="dxa"/>
            <w:noWrap/>
            <w:hideMark/>
          </w:tcPr>
          <w:p w14:paraId="38529231" w14:textId="77777777" w:rsidR="00E40C13" w:rsidRPr="00E40C13" w:rsidRDefault="00E40C13" w:rsidP="00E40C13">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E40C13">
              <w:rPr>
                <w:rFonts w:asciiTheme="majorHAnsi" w:eastAsia="Times New Roman" w:hAnsiTheme="majorHAnsi" w:cstheme="majorHAnsi"/>
                <w:color w:val="000000"/>
              </w:rPr>
              <w:t>Applicable Standard or Regulation</w:t>
            </w:r>
          </w:p>
        </w:tc>
      </w:tr>
      <w:tr w:rsidR="00AF6585" w:rsidRPr="00F145DA" w14:paraId="08672171" w14:textId="77777777" w:rsidTr="3D09FF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noWrap/>
            <w:hideMark/>
          </w:tcPr>
          <w:p w14:paraId="0DD2CF15" w14:textId="77777777" w:rsidR="00E40C13" w:rsidRPr="00E40C13" w:rsidRDefault="00E40C13" w:rsidP="00E40C13">
            <w:pPr>
              <w:rPr>
                <w:rFonts w:asciiTheme="majorHAnsi" w:eastAsia="Times New Roman" w:hAnsiTheme="majorHAnsi" w:cstheme="majorHAnsi"/>
                <w:color w:val="000000"/>
              </w:rPr>
            </w:pPr>
            <w:r w:rsidRPr="00E40C13">
              <w:rPr>
                <w:rFonts w:asciiTheme="majorHAnsi" w:eastAsia="Times New Roman" w:hAnsiTheme="majorHAnsi" w:cstheme="majorHAnsi"/>
                <w:color w:val="000000"/>
              </w:rPr>
              <w:t>No requirement to analyze trends across CAPAs to detect systemic issues.</w:t>
            </w:r>
          </w:p>
        </w:tc>
        <w:tc>
          <w:tcPr>
            <w:tcW w:w="1440" w:type="dxa"/>
            <w:noWrap/>
            <w:hideMark/>
          </w:tcPr>
          <w:p w14:paraId="6B5F0043" w14:textId="77777777" w:rsidR="00E40C13" w:rsidRPr="00E40C13" w:rsidRDefault="00E40C13" w:rsidP="00E40C1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rPr>
            </w:pPr>
            <w:r w:rsidRPr="00E40C13">
              <w:rPr>
                <w:rFonts w:asciiTheme="majorHAnsi" w:eastAsia="Times New Roman" w:hAnsiTheme="majorHAnsi" w:cstheme="majorHAnsi"/>
                <w:b/>
                <w:bCs/>
                <w:color w:val="000000"/>
              </w:rPr>
              <w:t>Critical</w:t>
            </w:r>
          </w:p>
        </w:tc>
        <w:tc>
          <w:tcPr>
            <w:tcW w:w="3420" w:type="dxa"/>
            <w:noWrap/>
            <w:hideMark/>
          </w:tcPr>
          <w:p w14:paraId="369A0DEA" w14:textId="77777777" w:rsidR="00E40C13" w:rsidRPr="00E40C13" w:rsidRDefault="00E40C13" w:rsidP="00E40C1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E40C13">
              <w:rPr>
                <w:rFonts w:asciiTheme="majorHAnsi" w:eastAsia="Times New Roman" w:hAnsiTheme="majorHAnsi" w:cstheme="majorHAnsi"/>
                <w:color w:val="000000"/>
              </w:rPr>
              <w:t>CAPA initiation is event-driven (e.g., deviations, audits), but there is no requirement to conduct trend analysis to identify recurring issues.</w:t>
            </w:r>
          </w:p>
        </w:tc>
        <w:tc>
          <w:tcPr>
            <w:tcW w:w="3420" w:type="dxa"/>
            <w:noWrap/>
            <w:hideMark/>
          </w:tcPr>
          <w:p w14:paraId="4F14A259" w14:textId="6FCA3314" w:rsidR="00E40C13" w:rsidRPr="00E40C13" w:rsidRDefault="00E40C13" w:rsidP="00E40C1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E40C13">
              <w:rPr>
                <w:rFonts w:asciiTheme="majorHAnsi" w:eastAsia="Times New Roman" w:hAnsiTheme="majorHAnsi" w:cstheme="majorHAnsi"/>
                <w:color w:val="000000"/>
              </w:rPr>
              <w:t>Include a section mandating trend analysis across CAPA sources to detect systemic issues, per 21 CFR 820.100(a)(1) and ISO 13485 §8.4.</w:t>
            </w:r>
          </w:p>
        </w:tc>
        <w:tc>
          <w:tcPr>
            <w:tcW w:w="3291" w:type="dxa"/>
            <w:noWrap/>
            <w:hideMark/>
          </w:tcPr>
          <w:p w14:paraId="65A51017" w14:textId="6C2443A7" w:rsidR="00E40C13" w:rsidRPr="00E40C13" w:rsidRDefault="00E40C13" w:rsidP="00E40C1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E40C13">
              <w:rPr>
                <w:rFonts w:asciiTheme="majorHAnsi" w:eastAsia="Times New Roman" w:hAnsiTheme="majorHAnsi" w:cstheme="majorHAnsi"/>
                <w:color w:val="000000"/>
              </w:rPr>
              <w:t>21 CFR 820.100(a)(1); ISO 13485:2016 §8.4SOP-0029 Corrective and Preventive Action (CAPA) Procedure</w:t>
            </w:r>
          </w:p>
        </w:tc>
      </w:tr>
      <w:tr w:rsidR="00E40C13" w:rsidRPr="00E40C13" w14:paraId="6DC04424" w14:textId="77777777" w:rsidTr="3D09FF86">
        <w:trPr>
          <w:trHeight w:val="300"/>
        </w:trPr>
        <w:tc>
          <w:tcPr>
            <w:cnfStyle w:val="001000000000" w:firstRow="0" w:lastRow="0" w:firstColumn="1" w:lastColumn="0" w:oddVBand="0" w:evenVBand="0" w:oddHBand="0" w:evenHBand="0" w:firstRowFirstColumn="0" w:firstRowLastColumn="0" w:lastRowFirstColumn="0" w:lastRowLastColumn="0"/>
            <w:tcW w:w="2250" w:type="dxa"/>
            <w:noWrap/>
            <w:hideMark/>
          </w:tcPr>
          <w:p w14:paraId="777AB2C8" w14:textId="77777777" w:rsidR="00E40C13" w:rsidRPr="00E40C13" w:rsidRDefault="00E40C13" w:rsidP="00E40C13">
            <w:pPr>
              <w:rPr>
                <w:rFonts w:asciiTheme="majorHAnsi" w:eastAsia="Times New Roman" w:hAnsiTheme="majorHAnsi" w:cstheme="majorHAnsi"/>
                <w:color w:val="000000"/>
              </w:rPr>
            </w:pPr>
            <w:r w:rsidRPr="00E40C13">
              <w:rPr>
                <w:rFonts w:asciiTheme="majorHAnsi" w:eastAsia="Times New Roman" w:hAnsiTheme="majorHAnsi" w:cstheme="majorHAnsi"/>
                <w:color w:val="000000"/>
              </w:rPr>
              <w:t>Lack of formal requirement to investigate root cause using defined methodology.</w:t>
            </w:r>
          </w:p>
        </w:tc>
        <w:tc>
          <w:tcPr>
            <w:tcW w:w="1440" w:type="dxa"/>
            <w:noWrap/>
            <w:hideMark/>
          </w:tcPr>
          <w:p w14:paraId="39298E7B" w14:textId="77777777" w:rsidR="00E40C13" w:rsidRPr="00E40C13" w:rsidRDefault="00E40C13" w:rsidP="00E40C1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rPr>
            </w:pPr>
            <w:r w:rsidRPr="00E40C13">
              <w:rPr>
                <w:rFonts w:asciiTheme="majorHAnsi" w:eastAsia="Times New Roman" w:hAnsiTheme="majorHAnsi" w:cstheme="majorHAnsi"/>
                <w:b/>
                <w:bCs/>
                <w:color w:val="000000"/>
              </w:rPr>
              <w:t>Moderate</w:t>
            </w:r>
          </w:p>
        </w:tc>
        <w:tc>
          <w:tcPr>
            <w:tcW w:w="3420" w:type="dxa"/>
            <w:noWrap/>
            <w:hideMark/>
          </w:tcPr>
          <w:p w14:paraId="0A4BC6D9" w14:textId="77777777" w:rsidR="00E40C13" w:rsidRPr="00E40C13" w:rsidRDefault="00E40C13" w:rsidP="00E40C1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E40C13">
              <w:rPr>
                <w:rFonts w:asciiTheme="majorHAnsi" w:eastAsia="Times New Roman" w:hAnsiTheme="majorHAnsi" w:cstheme="majorHAnsi"/>
                <w:color w:val="000000"/>
              </w:rPr>
              <w:t>Root cause is mentioned, but no structured investigation method (e.g., 5 Whys, Fishbone) is required.</w:t>
            </w:r>
          </w:p>
        </w:tc>
        <w:tc>
          <w:tcPr>
            <w:tcW w:w="3420" w:type="dxa"/>
            <w:noWrap/>
            <w:hideMark/>
          </w:tcPr>
          <w:p w14:paraId="18183539" w14:textId="77777777" w:rsidR="00E40C13" w:rsidRPr="00E40C13" w:rsidRDefault="00E40C13" w:rsidP="00E40C1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E40C13">
              <w:rPr>
                <w:rFonts w:asciiTheme="majorHAnsi" w:eastAsia="Times New Roman" w:hAnsiTheme="majorHAnsi" w:cstheme="majorHAnsi"/>
                <w:color w:val="000000"/>
              </w:rPr>
              <w:t xml:space="preserve">Mandate use of </w:t>
            </w:r>
            <w:proofErr w:type="gramStart"/>
            <w:r w:rsidRPr="00E40C13">
              <w:rPr>
                <w:rFonts w:asciiTheme="majorHAnsi" w:eastAsia="Times New Roman" w:hAnsiTheme="majorHAnsi" w:cstheme="majorHAnsi"/>
                <w:color w:val="000000"/>
              </w:rPr>
              <w:t>a structured</w:t>
            </w:r>
            <w:proofErr w:type="gramEnd"/>
            <w:r w:rsidRPr="00E40C13">
              <w:rPr>
                <w:rFonts w:asciiTheme="majorHAnsi" w:eastAsia="Times New Roman" w:hAnsiTheme="majorHAnsi" w:cstheme="majorHAnsi"/>
                <w:color w:val="000000"/>
              </w:rPr>
              <w:t xml:space="preserve"> root cause analysis methodology and document the method used in each CAPA record.</w:t>
            </w:r>
          </w:p>
        </w:tc>
        <w:tc>
          <w:tcPr>
            <w:tcW w:w="3291" w:type="dxa"/>
            <w:noWrap/>
            <w:hideMark/>
          </w:tcPr>
          <w:p w14:paraId="73BE7CA2" w14:textId="6E63AF07" w:rsidR="00E40C13" w:rsidRPr="00E40C13" w:rsidRDefault="00E40C13" w:rsidP="00E40C1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E40C13">
              <w:rPr>
                <w:rFonts w:asciiTheme="majorHAnsi" w:eastAsia="Times New Roman" w:hAnsiTheme="majorHAnsi" w:cstheme="majorHAnsi"/>
                <w:color w:val="000000"/>
              </w:rPr>
              <w:t>21 CFR 820.100(a)(2); ISO 13485:2016 §8.5.2</w:t>
            </w:r>
            <w:r w:rsidR="00176512" w:rsidRPr="00F145DA">
              <w:rPr>
                <w:rFonts w:asciiTheme="majorHAnsi" w:eastAsia="Times New Roman" w:hAnsiTheme="majorHAnsi" w:cstheme="majorHAnsi"/>
                <w:color w:val="000000"/>
              </w:rPr>
              <w:t xml:space="preserve"> </w:t>
            </w:r>
            <w:r w:rsidRPr="00E40C13">
              <w:rPr>
                <w:rFonts w:asciiTheme="majorHAnsi" w:eastAsia="Times New Roman" w:hAnsiTheme="majorHAnsi" w:cstheme="majorHAnsi"/>
                <w:color w:val="000000"/>
              </w:rPr>
              <w:t>SOP-0029 Corrective and Preventive Action (CAPA) Procedure</w:t>
            </w:r>
          </w:p>
        </w:tc>
      </w:tr>
      <w:tr w:rsidR="00AF6585" w:rsidRPr="00F145DA" w14:paraId="4EDBFD3F" w14:textId="77777777" w:rsidTr="3D09FF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noWrap/>
            <w:hideMark/>
          </w:tcPr>
          <w:p w14:paraId="04030B7F" w14:textId="77777777" w:rsidR="00E40C13" w:rsidRPr="00E40C13" w:rsidRDefault="00E40C13" w:rsidP="00E40C13">
            <w:pPr>
              <w:rPr>
                <w:rFonts w:asciiTheme="majorHAnsi" w:eastAsia="Times New Roman" w:hAnsiTheme="majorHAnsi" w:cstheme="majorHAnsi"/>
                <w:color w:val="000000"/>
              </w:rPr>
            </w:pPr>
            <w:r w:rsidRPr="00E40C13">
              <w:rPr>
                <w:rFonts w:asciiTheme="majorHAnsi" w:eastAsia="Times New Roman" w:hAnsiTheme="majorHAnsi" w:cstheme="majorHAnsi"/>
                <w:color w:val="000000"/>
              </w:rPr>
              <w:t xml:space="preserve">Preventive action process is </w:t>
            </w:r>
            <w:r w:rsidRPr="00E40C13">
              <w:rPr>
                <w:rFonts w:asciiTheme="majorHAnsi" w:eastAsia="Times New Roman" w:hAnsiTheme="majorHAnsi" w:cstheme="majorHAnsi"/>
                <w:color w:val="000000"/>
              </w:rPr>
              <w:lastRenderedPageBreak/>
              <w:t>underdeveloped compared to corrective action.</w:t>
            </w:r>
          </w:p>
        </w:tc>
        <w:tc>
          <w:tcPr>
            <w:tcW w:w="1440" w:type="dxa"/>
            <w:noWrap/>
            <w:hideMark/>
          </w:tcPr>
          <w:p w14:paraId="03DCC8B4" w14:textId="77777777" w:rsidR="00E40C13" w:rsidRPr="00E40C13" w:rsidRDefault="00E40C13" w:rsidP="00E40C1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rPr>
            </w:pPr>
            <w:r w:rsidRPr="00E40C13">
              <w:rPr>
                <w:rFonts w:asciiTheme="majorHAnsi" w:eastAsia="Times New Roman" w:hAnsiTheme="majorHAnsi" w:cstheme="majorHAnsi"/>
                <w:b/>
                <w:bCs/>
                <w:color w:val="000000"/>
              </w:rPr>
              <w:lastRenderedPageBreak/>
              <w:t>Moderate</w:t>
            </w:r>
          </w:p>
        </w:tc>
        <w:tc>
          <w:tcPr>
            <w:tcW w:w="3420" w:type="dxa"/>
            <w:noWrap/>
            <w:hideMark/>
          </w:tcPr>
          <w:p w14:paraId="480C5265" w14:textId="77777777" w:rsidR="00E40C13" w:rsidRPr="00E40C13" w:rsidRDefault="00E40C13" w:rsidP="00E40C1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E40C13">
              <w:rPr>
                <w:rFonts w:asciiTheme="majorHAnsi" w:eastAsia="Times New Roman" w:hAnsiTheme="majorHAnsi" w:cstheme="majorHAnsi"/>
                <w:color w:val="000000"/>
              </w:rPr>
              <w:t xml:space="preserve">Preventive action is defined, but the SOP lacks a distinct workflow </w:t>
            </w:r>
            <w:r w:rsidRPr="00E40C13">
              <w:rPr>
                <w:rFonts w:asciiTheme="majorHAnsi" w:eastAsia="Times New Roman" w:hAnsiTheme="majorHAnsi" w:cstheme="majorHAnsi"/>
                <w:color w:val="000000"/>
              </w:rPr>
              <w:lastRenderedPageBreak/>
              <w:t>or criteria for identifying and initiating preventive actions proactively.</w:t>
            </w:r>
          </w:p>
        </w:tc>
        <w:tc>
          <w:tcPr>
            <w:tcW w:w="3420" w:type="dxa"/>
            <w:noWrap/>
            <w:hideMark/>
          </w:tcPr>
          <w:p w14:paraId="1BC1BE97" w14:textId="77777777" w:rsidR="00E40C13" w:rsidRPr="00E40C13" w:rsidRDefault="00E40C13" w:rsidP="00E40C1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E40C13">
              <w:rPr>
                <w:rFonts w:asciiTheme="majorHAnsi" w:eastAsia="Times New Roman" w:hAnsiTheme="majorHAnsi" w:cstheme="majorHAnsi"/>
                <w:color w:val="000000"/>
              </w:rPr>
              <w:lastRenderedPageBreak/>
              <w:t xml:space="preserve">Define specific inputs or conditions that should trigger </w:t>
            </w:r>
            <w:r w:rsidRPr="00E40C13">
              <w:rPr>
                <w:rFonts w:asciiTheme="majorHAnsi" w:eastAsia="Times New Roman" w:hAnsiTheme="majorHAnsi" w:cstheme="majorHAnsi"/>
                <w:color w:val="000000"/>
              </w:rPr>
              <w:lastRenderedPageBreak/>
              <w:t>preventive action (e.g., audit trends, risk assessments) and clarify preventive vs. corrective actions.</w:t>
            </w:r>
          </w:p>
        </w:tc>
        <w:tc>
          <w:tcPr>
            <w:tcW w:w="3291" w:type="dxa"/>
            <w:noWrap/>
            <w:hideMark/>
          </w:tcPr>
          <w:p w14:paraId="72B96EC9" w14:textId="552DA026" w:rsidR="00E40C13" w:rsidRPr="00E40C13" w:rsidRDefault="21ED64D0" w:rsidP="3D09FF8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Bidi"/>
                <w:color w:val="000000"/>
              </w:rPr>
            </w:pPr>
            <w:r w:rsidRPr="3D09FF86">
              <w:rPr>
                <w:rFonts w:asciiTheme="majorHAnsi" w:eastAsia="Times New Roman" w:hAnsiTheme="majorHAnsi" w:cstheme="majorBidi"/>
                <w:color w:val="000000" w:themeColor="text1"/>
              </w:rPr>
              <w:lastRenderedPageBreak/>
              <w:t>21 CFR 820.100(a)(1); ISO 13485:2016 §8.5.3</w:t>
            </w:r>
            <w:r w:rsidR="44D3C356" w:rsidRPr="3D09FF86">
              <w:rPr>
                <w:rFonts w:asciiTheme="majorHAnsi" w:eastAsia="Times New Roman" w:hAnsiTheme="majorHAnsi" w:cstheme="majorBidi"/>
                <w:color w:val="000000" w:themeColor="text1"/>
              </w:rPr>
              <w:t xml:space="preserve"> </w:t>
            </w:r>
            <w:r w:rsidRPr="3D09FF86">
              <w:rPr>
                <w:rFonts w:asciiTheme="majorHAnsi" w:eastAsia="Times New Roman" w:hAnsiTheme="majorHAnsi" w:cstheme="majorBidi"/>
                <w:color w:val="000000" w:themeColor="text1"/>
              </w:rPr>
              <w:t xml:space="preserve">SOP-0029 </w:t>
            </w:r>
            <w:r w:rsidRPr="3D09FF86">
              <w:rPr>
                <w:rFonts w:asciiTheme="majorHAnsi" w:eastAsia="Times New Roman" w:hAnsiTheme="majorHAnsi" w:cstheme="majorBidi"/>
                <w:color w:val="000000" w:themeColor="text1"/>
              </w:rPr>
              <w:lastRenderedPageBreak/>
              <w:t>Corrective and Preventive Action (CAPA) Procedure</w:t>
            </w:r>
          </w:p>
        </w:tc>
      </w:tr>
      <w:tr w:rsidR="00E40C13" w:rsidRPr="00E40C13" w14:paraId="11A27C4C" w14:textId="77777777" w:rsidTr="3D09FF86">
        <w:trPr>
          <w:trHeight w:val="300"/>
        </w:trPr>
        <w:tc>
          <w:tcPr>
            <w:cnfStyle w:val="001000000000" w:firstRow="0" w:lastRow="0" w:firstColumn="1" w:lastColumn="0" w:oddVBand="0" w:evenVBand="0" w:oddHBand="0" w:evenHBand="0" w:firstRowFirstColumn="0" w:firstRowLastColumn="0" w:lastRowFirstColumn="0" w:lastRowLastColumn="0"/>
            <w:tcW w:w="2250" w:type="dxa"/>
            <w:noWrap/>
            <w:hideMark/>
          </w:tcPr>
          <w:p w14:paraId="688F26D6" w14:textId="77777777" w:rsidR="00E40C13" w:rsidRPr="00E40C13" w:rsidRDefault="00E40C13" w:rsidP="00E40C13">
            <w:pPr>
              <w:rPr>
                <w:rFonts w:asciiTheme="majorHAnsi" w:eastAsia="Times New Roman" w:hAnsiTheme="majorHAnsi" w:cstheme="majorHAnsi"/>
                <w:color w:val="000000"/>
              </w:rPr>
            </w:pPr>
            <w:r w:rsidRPr="00E40C13">
              <w:rPr>
                <w:rFonts w:asciiTheme="majorHAnsi" w:eastAsia="Times New Roman" w:hAnsiTheme="majorHAnsi" w:cstheme="majorHAnsi"/>
                <w:color w:val="000000"/>
              </w:rPr>
              <w:lastRenderedPageBreak/>
              <w:t>No explicit linkage between CAPA records and risk management activities.</w:t>
            </w:r>
          </w:p>
        </w:tc>
        <w:tc>
          <w:tcPr>
            <w:tcW w:w="1440" w:type="dxa"/>
            <w:noWrap/>
            <w:hideMark/>
          </w:tcPr>
          <w:p w14:paraId="56D1CE7C" w14:textId="77777777" w:rsidR="00E40C13" w:rsidRPr="00E40C13" w:rsidRDefault="00E40C13" w:rsidP="00E40C1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rPr>
            </w:pPr>
            <w:r w:rsidRPr="00E40C13">
              <w:rPr>
                <w:rFonts w:asciiTheme="majorHAnsi" w:eastAsia="Times New Roman" w:hAnsiTheme="majorHAnsi" w:cstheme="majorHAnsi"/>
                <w:b/>
                <w:bCs/>
                <w:color w:val="000000"/>
              </w:rPr>
              <w:t>Moderate</w:t>
            </w:r>
          </w:p>
        </w:tc>
        <w:tc>
          <w:tcPr>
            <w:tcW w:w="3420" w:type="dxa"/>
            <w:noWrap/>
            <w:hideMark/>
          </w:tcPr>
          <w:p w14:paraId="49EB56B8" w14:textId="77777777" w:rsidR="00E40C13" w:rsidRPr="00E40C13" w:rsidRDefault="00E40C13" w:rsidP="00E40C1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E40C13">
              <w:rPr>
                <w:rFonts w:asciiTheme="majorHAnsi" w:eastAsia="Times New Roman" w:hAnsiTheme="majorHAnsi" w:cstheme="majorHAnsi"/>
                <w:color w:val="000000"/>
              </w:rPr>
              <w:t>While the CAPA procedure addresses risk via 'interim controls' and impact assessments, it does not reference the Risk Management Procedure or ISO 14971.</w:t>
            </w:r>
          </w:p>
        </w:tc>
        <w:tc>
          <w:tcPr>
            <w:tcW w:w="3420" w:type="dxa"/>
            <w:noWrap/>
            <w:hideMark/>
          </w:tcPr>
          <w:p w14:paraId="646AAB5B" w14:textId="77777777" w:rsidR="00E40C13" w:rsidRPr="00E40C13" w:rsidRDefault="00E40C13" w:rsidP="00E40C1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E40C13">
              <w:rPr>
                <w:rFonts w:asciiTheme="majorHAnsi" w:eastAsia="Times New Roman" w:hAnsiTheme="majorHAnsi" w:cstheme="majorHAnsi"/>
                <w:color w:val="000000"/>
              </w:rPr>
              <w:t>Cross-reference Risk Management Procedure and integrate ISO 14971 risk review when CAPA events are risk-driven.</w:t>
            </w:r>
          </w:p>
        </w:tc>
        <w:tc>
          <w:tcPr>
            <w:tcW w:w="3291" w:type="dxa"/>
            <w:noWrap/>
            <w:hideMark/>
          </w:tcPr>
          <w:p w14:paraId="6B3CAC14" w14:textId="013E9050" w:rsidR="00E40C13" w:rsidRPr="00E40C13" w:rsidRDefault="00E40C13" w:rsidP="00E40C1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E40C13">
              <w:rPr>
                <w:rFonts w:asciiTheme="majorHAnsi" w:eastAsia="Times New Roman" w:hAnsiTheme="majorHAnsi" w:cstheme="majorHAnsi"/>
                <w:color w:val="000000"/>
              </w:rPr>
              <w:t>ISO 13485:2016 §7.1; ISO 14971:2019 §6.3</w:t>
            </w:r>
            <w:r w:rsidR="00176512" w:rsidRPr="00F145DA">
              <w:rPr>
                <w:rFonts w:asciiTheme="majorHAnsi" w:eastAsia="Times New Roman" w:hAnsiTheme="majorHAnsi" w:cstheme="majorHAnsi"/>
                <w:color w:val="000000"/>
              </w:rPr>
              <w:t xml:space="preserve"> </w:t>
            </w:r>
            <w:r w:rsidRPr="00E40C13">
              <w:rPr>
                <w:rFonts w:asciiTheme="majorHAnsi" w:eastAsia="Times New Roman" w:hAnsiTheme="majorHAnsi" w:cstheme="majorHAnsi"/>
                <w:color w:val="000000"/>
              </w:rPr>
              <w:t>SOP-0029 Corrective and Preventive Action (CAPA) Procedure</w:t>
            </w:r>
          </w:p>
        </w:tc>
      </w:tr>
      <w:tr w:rsidR="00AF6585" w:rsidRPr="00F145DA" w14:paraId="090B5E7B" w14:textId="77777777" w:rsidTr="3D09FF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noWrap/>
            <w:hideMark/>
          </w:tcPr>
          <w:p w14:paraId="21871AFF" w14:textId="77777777" w:rsidR="00E40C13" w:rsidRPr="00E40C13" w:rsidRDefault="00E40C13" w:rsidP="00E40C13">
            <w:pPr>
              <w:rPr>
                <w:rFonts w:asciiTheme="majorHAnsi" w:eastAsia="Times New Roman" w:hAnsiTheme="majorHAnsi" w:cstheme="majorHAnsi"/>
                <w:color w:val="000000"/>
              </w:rPr>
            </w:pPr>
            <w:r w:rsidRPr="00E40C13">
              <w:rPr>
                <w:rFonts w:asciiTheme="majorHAnsi" w:eastAsia="Times New Roman" w:hAnsiTheme="majorHAnsi" w:cstheme="majorHAnsi"/>
                <w:color w:val="000000"/>
              </w:rPr>
              <w:t>Effectiveness check success criteria not consistently defined in EC planning.</w:t>
            </w:r>
          </w:p>
        </w:tc>
        <w:tc>
          <w:tcPr>
            <w:tcW w:w="1440" w:type="dxa"/>
            <w:noWrap/>
            <w:hideMark/>
          </w:tcPr>
          <w:p w14:paraId="572362A1" w14:textId="77777777" w:rsidR="00E40C13" w:rsidRPr="00E40C13" w:rsidRDefault="00E40C13" w:rsidP="00E40C1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rPr>
            </w:pPr>
            <w:r w:rsidRPr="00E40C13">
              <w:rPr>
                <w:rFonts w:asciiTheme="majorHAnsi" w:eastAsia="Times New Roman" w:hAnsiTheme="majorHAnsi" w:cstheme="majorHAnsi"/>
                <w:b/>
                <w:bCs/>
                <w:color w:val="000000"/>
              </w:rPr>
              <w:t>Minor</w:t>
            </w:r>
          </w:p>
        </w:tc>
        <w:tc>
          <w:tcPr>
            <w:tcW w:w="3420" w:type="dxa"/>
            <w:noWrap/>
            <w:hideMark/>
          </w:tcPr>
          <w:p w14:paraId="038BAAF6" w14:textId="77777777" w:rsidR="00E40C13" w:rsidRPr="00E40C13" w:rsidRDefault="00E40C13" w:rsidP="00E40C1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E40C13">
              <w:rPr>
                <w:rFonts w:asciiTheme="majorHAnsi" w:eastAsia="Times New Roman" w:hAnsiTheme="majorHAnsi" w:cstheme="majorHAnsi"/>
                <w:color w:val="000000"/>
              </w:rPr>
              <w:t>Effectiveness Check fields require justification, but not all examples define clear, measurable success criteria.</w:t>
            </w:r>
          </w:p>
        </w:tc>
        <w:tc>
          <w:tcPr>
            <w:tcW w:w="3420" w:type="dxa"/>
            <w:noWrap/>
            <w:hideMark/>
          </w:tcPr>
          <w:p w14:paraId="202A4522" w14:textId="77777777" w:rsidR="00E40C13" w:rsidRPr="00E40C13" w:rsidRDefault="00E40C13" w:rsidP="00E40C1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E40C13">
              <w:rPr>
                <w:rFonts w:asciiTheme="majorHAnsi" w:eastAsia="Times New Roman" w:hAnsiTheme="majorHAnsi" w:cstheme="majorHAnsi"/>
                <w:color w:val="000000"/>
              </w:rPr>
              <w:t xml:space="preserve">Standardize requirement for EC plans to include quantifiable/measurable success </w:t>
            </w:r>
            <w:proofErr w:type="gramStart"/>
            <w:r w:rsidRPr="00E40C13">
              <w:rPr>
                <w:rFonts w:asciiTheme="majorHAnsi" w:eastAsia="Times New Roman" w:hAnsiTheme="majorHAnsi" w:cstheme="majorHAnsi"/>
                <w:color w:val="000000"/>
              </w:rPr>
              <w:t>criteria, and</w:t>
            </w:r>
            <w:proofErr w:type="gramEnd"/>
            <w:r w:rsidRPr="00E40C13">
              <w:rPr>
                <w:rFonts w:asciiTheme="majorHAnsi" w:eastAsia="Times New Roman" w:hAnsiTheme="majorHAnsi" w:cstheme="majorHAnsi"/>
                <w:color w:val="000000"/>
              </w:rPr>
              <w:t xml:space="preserve"> link them to the original CAPA objective.</w:t>
            </w:r>
          </w:p>
        </w:tc>
        <w:tc>
          <w:tcPr>
            <w:tcW w:w="3291" w:type="dxa"/>
            <w:noWrap/>
            <w:hideMark/>
          </w:tcPr>
          <w:p w14:paraId="10AAF1CF" w14:textId="40E466BE" w:rsidR="00E40C13" w:rsidRPr="00E40C13" w:rsidRDefault="00E40C13" w:rsidP="00E40C1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E40C13">
              <w:rPr>
                <w:rFonts w:asciiTheme="majorHAnsi" w:eastAsia="Times New Roman" w:hAnsiTheme="majorHAnsi" w:cstheme="majorHAnsi"/>
                <w:color w:val="000000"/>
              </w:rPr>
              <w:t>ISO 13485:2016 §8.5.2; 21 CFR 820.100(a)(4)</w:t>
            </w:r>
            <w:r w:rsidR="00176512" w:rsidRPr="00F145DA">
              <w:rPr>
                <w:rFonts w:asciiTheme="majorHAnsi" w:eastAsia="Times New Roman" w:hAnsiTheme="majorHAnsi" w:cstheme="majorHAnsi"/>
                <w:color w:val="000000"/>
              </w:rPr>
              <w:t xml:space="preserve"> </w:t>
            </w:r>
            <w:r w:rsidRPr="00E40C13">
              <w:rPr>
                <w:rFonts w:asciiTheme="majorHAnsi" w:eastAsia="Times New Roman" w:hAnsiTheme="majorHAnsi" w:cstheme="majorHAnsi"/>
                <w:color w:val="000000"/>
              </w:rPr>
              <w:t>SOP-0029 Corrective and Preventive Action (CAPA) Procedure</w:t>
            </w:r>
          </w:p>
        </w:tc>
      </w:tr>
      <w:tr w:rsidR="00E40C13" w:rsidRPr="00E40C13" w14:paraId="693ED943" w14:textId="77777777" w:rsidTr="3D09FF86">
        <w:trPr>
          <w:trHeight w:val="300"/>
        </w:trPr>
        <w:tc>
          <w:tcPr>
            <w:cnfStyle w:val="001000000000" w:firstRow="0" w:lastRow="0" w:firstColumn="1" w:lastColumn="0" w:oddVBand="0" w:evenVBand="0" w:oddHBand="0" w:evenHBand="0" w:firstRowFirstColumn="0" w:firstRowLastColumn="0" w:lastRowFirstColumn="0" w:lastRowLastColumn="0"/>
            <w:tcW w:w="2250" w:type="dxa"/>
            <w:noWrap/>
            <w:hideMark/>
          </w:tcPr>
          <w:p w14:paraId="143444B7" w14:textId="77777777" w:rsidR="00E40C13" w:rsidRPr="00E40C13" w:rsidRDefault="00E40C13" w:rsidP="00E40C13">
            <w:pPr>
              <w:rPr>
                <w:rFonts w:asciiTheme="majorHAnsi" w:eastAsia="Times New Roman" w:hAnsiTheme="majorHAnsi" w:cstheme="majorHAnsi"/>
                <w:color w:val="000000"/>
              </w:rPr>
            </w:pPr>
            <w:r w:rsidRPr="00E40C13">
              <w:rPr>
                <w:rFonts w:asciiTheme="majorHAnsi" w:eastAsia="Times New Roman" w:hAnsiTheme="majorHAnsi" w:cstheme="majorHAnsi"/>
                <w:color w:val="000000"/>
              </w:rPr>
              <w:t>No requirement for management review of CAPA trends.</w:t>
            </w:r>
          </w:p>
        </w:tc>
        <w:tc>
          <w:tcPr>
            <w:tcW w:w="1440" w:type="dxa"/>
            <w:noWrap/>
            <w:hideMark/>
          </w:tcPr>
          <w:p w14:paraId="343CE484" w14:textId="77777777" w:rsidR="00E40C13" w:rsidRPr="00E40C13" w:rsidRDefault="00E40C13" w:rsidP="00E40C1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rPr>
            </w:pPr>
            <w:r w:rsidRPr="00E40C13">
              <w:rPr>
                <w:rFonts w:asciiTheme="majorHAnsi" w:eastAsia="Times New Roman" w:hAnsiTheme="majorHAnsi" w:cstheme="majorHAnsi"/>
                <w:b/>
                <w:bCs/>
                <w:color w:val="000000"/>
              </w:rPr>
              <w:t>Minor</w:t>
            </w:r>
          </w:p>
        </w:tc>
        <w:tc>
          <w:tcPr>
            <w:tcW w:w="3420" w:type="dxa"/>
            <w:noWrap/>
            <w:hideMark/>
          </w:tcPr>
          <w:p w14:paraId="1F177319" w14:textId="77777777" w:rsidR="00E40C13" w:rsidRPr="00E40C13" w:rsidRDefault="00E40C13" w:rsidP="00E40C1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E40C13">
              <w:rPr>
                <w:rFonts w:asciiTheme="majorHAnsi" w:eastAsia="Times New Roman" w:hAnsiTheme="majorHAnsi" w:cstheme="majorHAnsi"/>
                <w:color w:val="000000"/>
              </w:rPr>
              <w:t>Management review is referenced as a CAPA source but not as a recipient of CAPA metrics.</w:t>
            </w:r>
          </w:p>
        </w:tc>
        <w:tc>
          <w:tcPr>
            <w:tcW w:w="3420" w:type="dxa"/>
            <w:noWrap/>
            <w:hideMark/>
          </w:tcPr>
          <w:p w14:paraId="61A74312" w14:textId="77777777" w:rsidR="00E40C13" w:rsidRPr="00E40C13" w:rsidRDefault="00E40C13" w:rsidP="00E40C1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E40C13">
              <w:rPr>
                <w:rFonts w:asciiTheme="majorHAnsi" w:eastAsia="Times New Roman" w:hAnsiTheme="majorHAnsi" w:cstheme="majorHAnsi"/>
                <w:color w:val="000000"/>
              </w:rPr>
              <w:t>Add requirement to summarize CAPA trends and metrics for management review meetings.</w:t>
            </w:r>
          </w:p>
        </w:tc>
        <w:tc>
          <w:tcPr>
            <w:tcW w:w="3291" w:type="dxa"/>
            <w:noWrap/>
            <w:hideMark/>
          </w:tcPr>
          <w:p w14:paraId="68C50432" w14:textId="2D0A22CD" w:rsidR="00E40C13" w:rsidRPr="00E40C13" w:rsidRDefault="00E40C13" w:rsidP="00E40C1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E40C13">
              <w:rPr>
                <w:rFonts w:asciiTheme="majorHAnsi" w:eastAsia="Times New Roman" w:hAnsiTheme="majorHAnsi" w:cstheme="majorHAnsi"/>
                <w:color w:val="000000"/>
              </w:rPr>
              <w:t>ISO 13485:2016 §5.6.2; 21 CFR 820.100(c)</w:t>
            </w:r>
            <w:r w:rsidR="00176512" w:rsidRPr="00F145DA">
              <w:rPr>
                <w:rFonts w:asciiTheme="majorHAnsi" w:eastAsia="Times New Roman" w:hAnsiTheme="majorHAnsi" w:cstheme="majorHAnsi"/>
                <w:color w:val="000000"/>
              </w:rPr>
              <w:t xml:space="preserve"> </w:t>
            </w:r>
            <w:r w:rsidRPr="00E40C13">
              <w:rPr>
                <w:rFonts w:asciiTheme="majorHAnsi" w:eastAsia="Times New Roman" w:hAnsiTheme="majorHAnsi" w:cstheme="majorHAnsi"/>
                <w:color w:val="000000"/>
              </w:rPr>
              <w:t>SOP-0029 Corrective and Preventive Action (CAPA) Procedure</w:t>
            </w:r>
          </w:p>
        </w:tc>
      </w:tr>
    </w:tbl>
    <w:p w14:paraId="704203E0" w14:textId="77777777" w:rsidR="00383589" w:rsidRPr="00F145DA" w:rsidRDefault="00383589" w:rsidP="00383589">
      <w:pPr>
        <w:rPr>
          <w:rFonts w:asciiTheme="majorHAnsi" w:hAnsiTheme="majorHAnsi" w:cstheme="majorHAnsi"/>
          <w:b/>
          <w:bCs/>
        </w:rPr>
      </w:pPr>
    </w:p>
    <w:p w14:paraId="28FB7052" w14:textId="77777777" w:rsidR="00383589" w:rsidRPr="00F145DA" w:rsidRDefault="00383589" w:rsidP="00383589">
      <w:pPr>
        <w:rPr>
          <w:rFonts w:asciiTheme="majorHAnsi" w:hAnsiTheme="majorHAnsi" w:cstheme="majorHAnsi"/>
          <w:b/>
          <w:bCs/>
        </w:rPr>
      </w:pPr>
    </w:p>
    <w:p w14:paraId="47665B3C" w14:textId="28FC05F9" w:rsidR="00383589" w:rsidRDefault="00D44EC0" w:rsidP="00383589">
      <w:pPr>
        <w:rPr>
          <w:rFonts w:asciiTheme="majorHAnsi" w:hAnsiTheme="majorHAnsi" w:cstheme="majorHAnsi"/>
          <w:b/>
          <w:bCs/>
        </w:rPr>
      </w:pPr>
      <w:r>
        <w:rPr>
          <w:rFonts w:asciiTheme="majorHAnsi" w:hAnsiTheme="majorHAnsi" w:cstheme="majorHAnsi"/>
          <w:b/>
          <w:bCs/>
        </w:rPr>
        <w:t>Key Findings Summary</w:t>
      </w:r>
    </w:p>
    <w:tbl>
      <w:tblPr>
        <w:tblStyle w:val="GridTable2-Accent3"/>
        <w:tblW w:w="13320" w:type="dxa"/>
        <w:tblLook w:val="04A0" w:firstRow="1" w:lastRow="0" w:firstColumn="1" w:lastColumn="0" w:noHBand="0" w:noVBand="1"/>
      </w:tblPr>
      <w:tblGrid>
        <w:gridCol w:w="1182"/>
        <w:gridCol w:w="6663"/>
        <w:gridCol w:w="5475"/>
      </w:tblGrid>
      <w:tr w:rsidR="002056FA" w:rsidRPr="00543783" w14:paraId="26F096B8" w14:textId="77777777" w:rsidTr="00865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6FDF2D" w14:textId="77777777" w:rsidR="00D44EC0" w:rsidRPr="00543783" w:rsidRDefault="00D44EC0" w:rsidP="00865A62">
            <w:pPr>
              <w:rPr>
                <w:rFonts w:asciiTheme="majorHAnsi" w:hAnsiTheme="majorHAnsi" w:cstheme="majorHAnsi"/>
              </w:rPr>
            </w:pPr>
            <w:r w:rsidRPr="00543783">
              <w:rPr>
                <w:rFonts w:asciiTheme="majorHAnsi" w:hAnsiTheme="majorHAnsi" w:cstheme="majorHAnsi"/>
              </w:rPr>
              <w:t>Severity</w:t>
            </w:r>
          </w:p>
        </w:tc>
        <w:tc>
          <w:tcPr>
            <w:tcW w:w="0" w:type="auto"/>
            <w:hideMark/>
          </w:tcPr>
          <w:p w14:paraId="79D19D22" w14:textId="77777777" w:rsidR="00D44EC0" w:rsidRPr="00543783" w:rsidRDefault="00D44EC0" w:rsidP="00865A6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543783">
              <w:rPr>
                <w:rFonts w:asciiTheme="majorHAnsi" w:hAnsiTheme="majorHAnsi" w:cstheme="majorHAnsi"/>
              </w:rPr>
              <w:t>Area of Concern</w:t>
            </w:r>
          </w:p>
        </w:tc>
        <w:tc>
          <w:tcPr>
            <w:tcW w:w="5475" w:type="dxa"/>
            <w:hideMark/>
          </w:tcPr>
          <w:p w14:paraId="79860EBE" w14:textId="77777777" w:rsidR="00D44EC0" w:rsidRPr="00543783" w:rsidRDefault="00D44EC0" w:rsidP="00865A6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543783">
              <w:rPr>
                <w:rFonts w:asciiTheme="majorHAnsi" w:hAnsiTheme="majorHAnsi" w:cstheme="majorHAnsi"/>
              </w:rPr>
              <w:t>Impact</w:t>
            </w:r>
          </w:p>
        </w:tc>
      </w:tr>
      <w:tr w:rsidR="002056FA" w:rsidRPr="00543783" w14:paraId="42BFC3E5" w14:textId="77777777" w:rsidTr="00865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D2E8E2" w14:textId="77777777" w:rsidR="00D44EC0" w:rsidRPr="00543783" w:rsidRDefault="00D44EC0" w:rsidP="00865A62">
            <w:pPr>
              <w:rPr>
                <w:rFonts w:asciiTheme="majorHAnsi" w:hAnsiTheme="majorHAnsi" w:cstheme="majorHAnsi"/>
              </w:rPr>
            </w:pPr>
            <w:r w:rsidRPr="00543783">
              <w:rPr>
                <w:rFonts w:asciiTheme="majorHAnsi" w:hAnsiTheme="majorHAnsi" w:cstheme="majorHAnsi"/>
              </w:rPr>
              <w:t>Critical</w:t>
            </w:r>
          </w:p>
        </w:tc>
        <w:tc>
          <w:tcPr>
            <w:tcW w:w="0" w:type="auto"/>
            <w:hideMark/>
          </w:tcPr>
          <w:p w14:paraId="143D105A" w14:textId="2951E1FE" w:rsidR="00D44EC0" w:rsidRPr="006B2647" w:rsidRDefault="00D44EC0" w:rsidP="00865A6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B2647">
              <w:rPr>
                <w:rFonts w:asciiTheme="majorHAnsi" w:hAnsiTheme="majorHAnsi" w:cstheme="majorHAnsi"/>
              </w:rPr>
              <w:t>Lack of required trend analysis across CAPAs.</w:t>
            </w:r>
          </w:p>
        </w:tc>
        <w:tc>
          <w:tcPr>
            <w:tcW w:w="5475" w:type="dxa"/>
            <w:hideMark/>
          </w:tcPr>
          <w:p w14:paraId="595FA55F" w14:textId="6BBA2AEA" w:rsidR="00D44EC0" w:rsidRPr="006B2647" w:rsidRDefault="00D44EC0" w:rsidP="00D44EC0">
            <w:pPr>
              <w:ind w:left="6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B2647">
              <w:rPr>
                <w:rFonts w:asciiTheme="majorHAnsi" w:hAnsiTheme="majorHAnsi" w:cstheme="majorHAnsi"/>
              </w:rPr>
              <w:t xml:space="preserve">This poses a regulatory risk and is explicitly required by both 21 CFR 820.100(a)(1) and </w:t>
            </w:r>
            <w:r>
              <w:rPr>
                <w:rFonts w:asciiTheme="majorHAnsi" w:hAnsiTheme="majorHAnsi" w:cstheme="majorHAnsi"/>
              </w:rPr>
              <w:t>I</w:t>
            </w:r>
            <w:r w:rsidRPr="006B2647">
              <w:rPr>
                <w:rFonts w:asciiTheme="majorHAnsi" w:hAnsiTheme="majorHAnsi" w:cstheme="majorHAnsi"/>
              </w:rPr>
              <w:t>SO 13485 §8.4.</w:t>
            </w:r>
          </w:p>
          <w:p w14:paraId="05A9160E" w14:textId="28BF990F" w:rsidR="00D44EC0" w:rsidRPr="006B2647" w:rsidRDefault="00D44EC0" w:rsidP="00865A6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D44EC0" w:rsidRPr="00543783" w14:paraId="26026C74" w14:textId="77777777" w:rsidTr="00865A62">
        <w:tc>
          <w:tcPr>
            <w:cnfStyle w:val="001000000000" w:firstRow="0" w:lastRow="0" w:firstColumn="1" w:lastColumn="0" w:oddVBand="0" w:evenVBand="0" w:oddHBand="0" w:evenHBand="0" w:firstRowFirstColumn="0" w:firstRowLastColumn="0" w:lastRowFirstColumn="0" w:lastRowLastColumn="0"/>
            <w:tcW w:w="0" w:type="auto"/>
            <w:hideMark/>
          </w:tcPr>
          <w:p w14:paraId="51CAF37E" w14:textId="77777777" w:rsidR="00D44EC0" w:rsidRPr="00543783" w:rsidRDefault="00D44EC0" w:rsidP="00865A62">
            <w:pPr>
              <w:rPr>
                <w:rFonts w:asciiTheme="majorHAnsi" w:hAnsiTheme="majorHAnsi" w:cstheme="majorHAnsi"/>
              </w:rPr>
            </w:pPr>
            <w:r w:rsidRPr="00543783">
              <w:rPr>
                <w:rFonts w:asciiTheme="majorHAnsi" w:hAnsiTheme="majorHAnsi" w:cstheme="majorHAnsi"/>
              </w:rPr>
              <w:t>Moderate</w:t>
            </w:r>
          </w:p>
        </w:tc>
        <w:tc>
          <w:tcPr>
            <w:tcW w:w="0" w:type="auto"/>
            <w:hideMark/>
          </w:tcPr>
          <w:p w14:paraId="1B083FB5" w14:textId="77777777" w:rsidR="00D44EC0" w:rsidRPr="006B2647" w:rsidRDefault="00D44EC0" w:rsidP="00700EF0">
            <w:pPr>
              <w:numPr>
                <w:ilvl w:val="0"/>
                <w:numId w:val="2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B2647">
              <w:rPr>
                <w:rFonts w:asciiTheme="majorHAnsi" w:hAnsiTheme="majorHAnsi" w:cstheme="majorHAnsi"/>
              </w:rPr>
              <w:t>Absence of a structured root cause methodology.</w:t>
            </w:r>
          </w:p>
          <w:p w14:paraId="2680BAA7" w14:textId="77777777" w:rsidR="00D44EC0" w:rsidRPr="006B2647" w:rsidRDefault="00D44EC0" w:rsidP="00700EF0">
            <w:pPr>
              <w:numPr>
                <w:ilvl w:val="0"/>
                <w:numId w:val="2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B2647">
              <w:rPr>
                <w:rFonts w:asciiTheme="majorHAnsi" w:hAnsiTheme="majorHAnsi" w:cstheme="majorHAnsi"/>
              </w:rPr>
              <w:lastRenderedPageBreak/>
              <w:t>Underdeveloped preventive action process (as distinct from corrective action).</w:t>
            </w:r>
          </w:p>
          <w:p w14:paraId="157DBE7F" w14:textId="1019DFFD" w:rsidR="00D44EC0" w:rsidRPr="00700EF0" w:rsidRDefault="00D44EC0" w:rsidP="00700EF0">
            <w:pPr>
              <w:numPr>
                <w:ilvl w:val="0"/>
                <w:numId w:val="2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B2647">
              <w:rPr>
                <w:rFonts w:asciiTheme="majorHAnsi" w:hAnsiTheme="majorHAnsi" w:cstheme="majorHAnsi"/>
              </w:rPr>
              <w:t>Missing explicit integration with risk management processes (i.e., ISO 14971 alignment).</w:t>
            </w:r>
          </w:p>
        </w:tc>
        <w:tc>
          <w:tcPr>
            <w:tcW w:w="5475" w:type="dxa"/>
            <w:hideMark/>
          </w:tcPr>
          <w:p w14:paraId="1401D985" w14:textId="007722F7" w:rsidR="00D44EC0" w:rsidRPr="00543783" w:rsidRDefault="00E47AE5" w:rsidP="00865A6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B2647">
              <w:rPr>
                <w:rFonts w:asciiTheme="majorHAnsi" w:hAnsiTheme="majorHAnsi" w:cstheme="majorHAnsi"/>
              </w:rPr>
              <w:lastRenderedPageBreak/>
              <w:t>This poses a regulatory risk</w:t>
            </w:r>
          </w:p>
        </w:tc>
      </w:tr>
      <w:tr w:rsidR="002056FA" w:rsidRPr="00543783" w14:paraId="5A4EDE81" w14:textId="77777777" w:rsidTr="00E4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076D44" w14:textId="77777777" w:rsidR="00D44EC0" w:rsidRPr="00543783" w:rsidRDefault="00D44EC0" w:rsidP="00865A62">
            <w:pPr>
              <w:rPr>
                <w:rFonts w:asciiTheme="majorHAnsi" w:hAnsiTheme="majorHAnsi" w:cstheme="majorHAnsi"/>
              </w:rPr>
            </w:pPr>
            <w:r w:rsidRPr="00543783">
              <w:rPr>
                <w:rFonts w:asciiTheme="majorHAnsi" w:hAnsiTheme="majorHAnsi" w:cstheme="majorHAnsi"/>
              </w:rPr>
              <w:t>Minor</w:t>
            </w:r>
          </w:p>
        </w:tc>
        <w:tc>
          <w:tcPr>
            <w:tcW w:w="0" w:type="auto"/>
            <w:hideMark/>
          </w:tcPr>
          <w:p w14:paraId="797381B2" w14:textId="77777777" w:rsidR="00700EF0" w:rsidRPr="006B2647" w:rsidRDefault="00700EF0" w:rsidP="00700EF0">
            <w:pPr>
              <w:numPr>
                <w:ilvl w:val="0"/>
                <w:numId w:val="24"/>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B2647">
              <w:rPr>
                <w:rFonts w:asciiTheme="majorHAnsi" w:hAnsiTheme="majorHAnsi" w:cstheme="majorHAnsi"/>
              </w:rPr>
              <w:t>Effectiveness check success criteria need standardization.</w:t>
            </w:r>
          </w:p>
          <w:p w14:paraId="5F438EA9" w14:textId="77777777" w:rsidR="00700EF0" w:rsidRPr="00383589" w:rsidRDefault="00700EF0" w:rsidP="00700EF0">
            <w:pPr>
              <w:numPr>
                <w:ilvl w:val="0"/>
                <w:numId w:val="24"/>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B2647">
              <w:rPr>
                <w:rFonts w:asciiTheme="majorHAnsi" w:hAnsiTheme="majorHAnsi" w:cstheme="majorHAnsi"/>
              </w:rPr>
              <w:t>CAPA metrics should be formally routed to Management Review to meet ISO 13485 §5.6</w:t>
            </w:r>
            <w:r w:rsidRPr="00383589">
              <w:rPr>
                <w:rFonts w:asciiTheme="majorHAnsi" w:hAnsiTheme="majorHAnsi" w:cstheme="majorHAnsi"/>
              </w:rPr>
              <w:t>.</w:t>
            </w:r>
          </w:p>
          <w:p w14:paraId="25F79C5A" w14:textId="16DB630C" w:rsidR="00D44EC0" w:rsidRPr="006B2647" w:rsidRDefault="00D44EC0" w:rsidP="00865A6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5475" w:type="dxa"/>
          </w:tcPr>
          <w:p w14:paraId="2735E996" w14:textId="75851C5E" w:rsidR="00D44EC0" w:rsidRPr="00543783" w:rsidRDefault="00E47AE5" w:rsidP="00865A6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B2647">
              <w:rPr>
                <w:rFonts w:asciiTheme="majorHAnsi" w:hAnsiTheme="majorHAnsi" w:cstheme="majorHAnsi"/>
              </w:rPr>
              <w:t>This poses a regulatory risk</w:t>
            </w:r>
          </w:p>
        </w:tc>
      </w:tr>
    </w:tbl>
    <w:p w14:paraId="64136754" w14:textId="77777777" w:rsidR="00D44EC0" w:rsidRPr="00383589" w:rsidRDefault="00D44EC0" w:rsidP="00383589">
      <w:pPr>
        <w:rPr>
          <w:rFonts w:asciiTheme="majorHAnsi" w:hAnsiTheme="majorHAnsi" w:cstheme="majorHAnsi"/>
          <w:b/>
          <w:bCs/>
        </w:rPr>
      </w:pPr>
    </w:p>
    <w:p w14:paraId="5DC810DF" w14:textId="77777777" w:rsidR="00383589" w:rsidRPr="00383589" w:rsidRDefault="00656355" w:rsidP="00383589">
      <w:pPr>
        <w:rPr>
          <w:rFonts w:asciiTheme="majorHAnsi" w:hAnsiTheme="majorHAnsi" w:cstheme="majorHAnsi"/>
        </w:rPr>
      </w:pPr>
      <w:r>
        <w:rPr>
          <w:rFonts w:asciiTheme="majorHAnsi" w:hAnsiTheme="majorHAnsi" w:cstheme="majorHAnsi"/>
        </w:rPr>
        <w:pict w14:anchorId="63150E05">
          <v:rect id="_x0000_i1037" style="width:0;height:1.5pt" o:hralign="center" o:hrstd="t" o:hr="t" fillcolor="#a0a0a0" stroked="f"/>
        </w:pict>
      </w:r>
    </w:p>
    <w:p w14:paraId="004D2499" w14:textId="12C87586" w:rsidR="00DC423E" w:rsidRDefault="00DC423E">
      <w:pPr>
        <w:rPr>
          <w:rFonts w:asciiTheme="majorHAnsi" w:hAnsiTheme="majorHAnsi" w:cstheme="majorHAnsi"/>
        </w:rPr>
      </w:pPr>
      <w:r>
        <w:rPr>
          <w:rFonts w:asciiTheme="majorHAnsi" w:hAnsiTheme="majorHAnsi" w:cstheme="majorHAnsi"/>
        </w:rPr>
        <w:br w:type="page"/>
      </w:r>
    </w:p>
    <w:p w14:paraId="31DD5817" w14:textId="4EB9FE6D" w:rsidR="00DC423E" w:rsidRPr="004E2C59" w:rsidRDefault="00DC423E" w:rsidP="00AF6585">
      <w:pPr>
        <w:spacing w:before="100" w:beforeAutospacing="1" w:after="100" w:afterAutospacing="1"/>
        <w:outlineLvl w:val="2"/>
        <w:rPr>
          <w:rFonts w:asciiTheme="majorHAnsi" w:eastAsia="Times New Roman" w:hAnsiTheme="majorHAnsi" w:cstheme="majorHAnsi"/>
          <w:b/>
          <w:bCs/>
          <w:sz w:val="28"/>
          <w:szCs w:val="28"/>
        </w:rPr>
      </w:pPr>
      <w:r w:rsidRPr="004E2C59">
        <w:rPr>
          <w:rFonts w:asciiTheme="majorHAnsi" w:eastAsia="Times New Roman" w:hAnsiTheme="majorHAnsi" w:cstheme="majorHAnsi"/>
          <w:b/>
          <w:bCs/>
          <w:sz w:val="28"/>
          <w:szCs w:val="28"/>
        </w:rPr>
        <w:lastRenderedPageBreak/>
        <w:t>Document Reviewed: SOP-00</w:t>
      </w:r>
      <w:r>
        <w:rPr>
          <w:rFonts w:asciiTheme="majorHAnsi" w:eastAsia="Times New Roman" w:hAnsiTheme="majorHAnsi" w:cstheme="majorHAnsi"/>
          <w:b/>
          <w:bCs/>
          <w:sz w:val="28"/>
          <w:szCs w:val="28"/>
        </w:rPr>
        <w:t>19: Supplier Lifecycle Management</w:t>
      </w:r>
    </w:p>
    <w:p w14:paraId="2F964525" w14:textId="77777777" w:rsidR="00543783" w:rsidRDefault="00543783" w:rsidP="00543783">
      <w:pPr>
        <w:rPr>
          <w:rFonts w:asciiTheme="majorHAnsi" w:hAnsiTheme="majorHAnsi" w:cstheme="majorHAnsi"/>
        </w:rPr>
      </w:pPr>
      <w:r w:rsidRPr="00543783">
        <w:rPr>
          <w:rFonts w:asciiTheme="majorHAnsi" w:hAnsiTheme="majorHAnsi" w:cstheme="majorHAnsi"/>
        </w:rPr>
        <w:t xml:space="preserve">The compliance review for </w:t>
      </w:r>
      <w:r w:rsidRPr="00543783">
        <w:rPr>
          <w:rFonts w:asciiTheme="majorHAnsi" w:hAnsiTheme="majorHAnsi" w:cstheme="majorHAnsi"/>
          <w:b/>
          <w:bCs/>
        </w:rPr>
        <w:t>SOP-0019: Supplier Lifecycle Management</w:t>
      </w:r>
      <w:r w:rsidRPr="00543783">
        <w:rPr>
          <w:rFonts w:asciiTheme="majorHAnsi" w:hAnsiTheme="majorHAnsi" w:cstheme="majorHAnsi"/>
        </w:rPr>
        <w:t xml:space="preserve"> has been completed with a focus on:</w:t>
      </w:r>
    </w:p>
    <w:p w14:paraId="496073EE" w14:textId="77777777" w:rsidR="005B04E1" w:rsidRPr="00543783" w:rsidRDefault="005B04E1" w:rsidP="00543783">
      <w:pPr>
        <w:rPr>
          <w:rFonts w:asciiTheme="majorHAnsi" w:hAnsiTheme="majorHAnsi" w:cstheme="majorHAnsi"/>
        </w:rPr>
      </w:pPr>
    </w:p>
    <w:p w14:paraId="32E75636" w14:textId="77777777" w:rsidR="00543783" w:rsidRPr="005B04E1" w:rsidRDefault="00543783" w:rsidP="00543783">
      <w:pPr>
        <w:numPr>
          <w:ilvl w:val="0"/>
          <w:numId w:val="11"/>
        </w:numPr>
        <w:rPr>
          <w:rFonts w:asciiTheme="majorHAnsi" w:hAnsiTheme="majorHAnsi" w:cstheme="majorHAnsi"/>
        </w:rPr>
      </w:pPr>
      <w:r w:rsidRPr="005B04E1">
        <w:rPr>
          <w:rFonts w:asciiTheme="majorHAnsi" w:hAnsiTheme="majorHAnsi" w:cstheme="majorHAnsi"/>
        </w:rPr>
        <w:t>21 CFR Part 820.50 (Purchasing Controls)</w:t>
      </w:r>
    </w:p>
    <w:p w14:paraId="6FE3312D" w14:textId="77777777" w:rsidR="00543783" w:rsidRPr="005B04E1" w:rsidRDefault="00543783" w:rsidP="00543783">
      <w:pPr>
        <w:numPr>
          <w:ilvl w:val="0"/>
          <w:numId w:val="11"/>
        </w:numPr>
        <w:rPr>
          <w:rFonts w:asciiTheme="majorHAnsi" w:hAnsiTheme="majorHAnsi" w:cstheme="majorHAnsi"/>
        </w:rPr>
      </w:pPr>
      <w:r w:rsidRPr="005B04E1">
        <w:rPr>
          <w:rFonts w:asciiTheme="majorHAnsi" w:hAnsiTheme="majorHAnsi" w:cstheme="majorHAnsi"/>
        </w:rPr>
        <w:t>ISO 13485:2016 clauses §7.4 and §7.1</w:t>
      </w:r>
    </w:p>
    <w:p w14:paraId="79E28A33" w14:textId="77777777" w:rsidR="00543783" w:rsidRPr="005B04E1" w:rsidRDefault="00543783" w:rsidP="00543783">
      <w:pPr>
        <w:numPr>
          <w:ilvl w:val="0"/>
          <w:numId w:val="11"/>
        </w:numPr>
        <w:rPr>
          <w:rFonts w:asciiTheme="majorHAnsi" w:hAnsiTheme="majorHAnsi" w:cstheme="majorHAnsi"/>
        </w:rPr>
      </w:pPr>
      <w:r w:rsidRPr="005B04E1">
        <w:rPr>
          <w:rFonts w:asciiTheme="majorHAnsi" w:hAnsiTheme="majorHAnsi" w:cstheme="majorHAnsi"/>
        </w:rPr>
        <w:t>21 CFR Part 4 requirements for combination products</w:t>
      </w:r>
    </w:p>
    <w:p w14:paraId="02DCB44D" w14:textId="77777777" w:rsidR="00543783" w:rsidRPr="005B04E1" w:rsidRDefault="00543783" w:rsidP="00543783">
      <w:pPr>
        <w:numPr>
          <w:ilvl w:val="0"/>
          <w:numId w:val="11"/>
        </w:numPr>
        <w:rPr>
          <w:rFonts w:asciiTheme="majorHAnsi" w:hAnsiTheme="majorHAnsi" w:cstheme="majorHAnsi"/>
        </w:rPr>
      </w:pPr>
      <w:r w:rsidRPr="005B04E1">
        <w:rPr>
          <w:rFonts w:asciiTheme="majorHAnsi" w:hAnsiTheme="majorHAnsi" w:cstheme="majorHAnsi"/>
        </w:rPr>
        <w:t>ISO 14971:2019 for risk-based supplier qualification</w:t>
      </w:r>
    </w:p>
    <w:p w14:paraId="67FDA57E" w14:textId="77777777" w:rsidR="00543783" w:rsidRPr="00F145DA" w:rsidRDefault="00656355" w:rsidP="00543783">
      <w:pPr>
        <w:rPr>
          <w:rFonts w:asciiTheme="majorHAnsi" w:hAnsiTheme="majorHAnsi" w:cstheme="majorHAnsi"/>
        </w:rPr>
      </w:pPr>
      <w:r>
        <w:rPr>
          <w:rFonts w:asciiTheme="majorHAnsi" w:hAnsiTheme="majorHAnsi" w:cstheme="majorHAnsi"/>
        </w:rPr>
        <w:pict w14:anchorId="6E46DCEC">
          <v:rect id="_x0000_i1038" style="width:0;height:1.5pt" o:hralign="center" o:hrstd="t" o:hr="t" fillcolor="#a0a0a0" stroked="f"/>
        </w:pict>
      </w:r>
    </w:p>
    <w:p w14:paraId="233252AC" w14:textId="77777777" w:rsidR="003E3F0D" w:rsidRPr="00F145DA" w:rsidRDefault="003E3F0D" w:rsidP="00543783">
      <w:pPr>
        <w:rPr>
          <w:rFonts w:asciiTheme="majorHAnsi" w:hAnsiTheme="majorHAnsi" w:cstheme="majorHAnsi"/>
        </w:rPr>
      </w:pPr>
    </w:p>
    <w:tbl>
      <w:tblPr>
        <w:tblStyle w:val="GridTable2-Accent3"/>
        <w:tblW w:w="13489" w:type="dxa"/>
        <w:tblLook w:val="04A0" w:firstRow="1" w:lastRow="0" w:firstColumn="1" w:lastColumn="0" w:noHBand="0" w:noVBand="1"/>
      </w:tblPr>
      <w:tblGrid>
        <w:gridCol w:w="2790"/>
        <w:gridCol w:w="1275"/>
        <w:gridCol w:w="3327"/>
        <w:gridCol w:w="2880"/>
        <w:gridCol w:w="3217"/>
      </w:tblGrid>
      <w:tr w:rsidR="00AF6585" w:rsidRPr="003E3F0D" w14:paraId="0670961B" w14:textId="77777777" w:rsidTr="3D09FF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90" w:type="dxa"/>
            <w:noWrap/>
            <w:hideMark/>
          </w:tcPr>
          <w:p w14:paraId="64B7A891" w14:textId="77777777" w:rsidR="003E3F0D" w:rsidRPr="003E3F0D" w:rsidRDefault="003E3F0D" w:rsidP="003E3F0D">
            <w:pPr>
              <w:rPr>
                <w:rFonts w:asciiTheme="majorHAnsi" w:eastAsia="Times New Roman" w:hAnsiTheme="majorHAnsi" w:cstheme="majorHAnsi"/>
                <w:color w:val="000000"/>
              </w:rPr>
            </w:pPr>
            <w:r w:rsidRPr="003E3F0D">
              <w:rPr>
                <w:rFonts w:asciiTheme="majorHAnsi" w:eastAsia="Times New Roman" w:hAnsiTheme="majorHAnsi" w:cstheme="majorHAnsi"/>
                <w:color w:val="000000"/>
              </w:rPr>
              <w:t>Issue Description</w:t>
            </w:r>
          </w:p>
        </w:tc>
        <w:tc>
          <w:tcPr>
            <w:tcW w:w="1275" w:type="dxa"/>
            <w:noWrap/>
            <w:hideMark/>
          </w:tcPr>
          <w:p w14:paraId="74CAC067" w14:textId="77777777" w:rsidR="003E3F0D" w:rsidRPr="003E3F0D" w:rsidRDefault="003E3F0D" w:rsidP="003E3F0D">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3E3F0D">
              <w:rPr>
                <w:rFonts w:asciiTheme="majorHAnsi" w:eastAsia="Times New Roman" w:hAnsiTheme="majorHAnsi" w:cstheme="majorHAnsi"/>
                <w:color w:val="000000"/>
              </w:rPr>
              <w:t>Severity Level</w:t>
            </w:r>
          </w:p>
        </w:tc>
        <w:tc>
          <w:tcPr>
            <w:tcW w:w="3327" w:type="dxa"/>
            <w:noWrap/>
            <w:hideMark/>
          </w:tcPr>
          <w:p w14:paraId="214427AE" w14:textId="77777777" w:rsidR="003E3F0D" w:rsidRPr="003E3F0D" w:rsidRDefault="003E3F0D" w:rsidP="003E3F0D">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3E3F0D">
              <w:rPr>
                <w:rFonts w:asciiTheme="majorHAnsi" w:eastAsia="Times New Roman" w:hAnsiTheme="majorHAnsi" w:cstheme="majorHAnsi"/>
                <w:color w:val="000000"/>
              </w:rPr>
              <w:t>Original Excerpt</w:t>
            </w:r>
          </w:p>
        </w:tc>
        <w:tc>
          <w:tcPr>
            <w:tcW w:w="2880" w:type="dxa"/>
            <w:noWrap/>
            <w:hideMark/>
          </w:tcPr>
          <w:p w14:paraId="4EB30637" w14:textId="77777777" w:rsidR="003E3F0D" w:rsidRPr="003E3F0D" w:rsidRDefault="003E3F0D" w:rsidP="003E3F0D">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3E3F0D">
              <w:rPr>
                <w:rFonts w:asciiTheme="majorHAnsi" w:eastAsia="Times New Roman" w:hAnsiTheme="majorHAnsi" w:cstheme="majorHAnsi"/>
                <w:color w:val="000000"/>
              </w:rPr>
              <w:t>Recommended Revision</w:t>
            </w:r>
          </w:p>
        </w:tc>
        <w:tc>
          <w:tcPr>
            <w:tcW w:w="3217" w:type="dxa"/>
            <w:noWrap/>
            <w:hideMark/>
          </w:tcPr>
          <w:p w14:paraId="45025B2D" w14:textId="77777777" w:rsidR="003E3F0D" w:rsidRPr="003E3F0D" w:rsidRDefault="003E3F0D" w:rsidP="003E3F0D">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3E3F0D">
              <w:rPr>
                <w:rFonts w:asciiTheme="majorHAnsi" w:eastAsia="Times New Roman" w:hAnsiTheme="majorHAnsi" w:cstheme="majorHAnsi"/>
                <w:color w:val="000000"/>
              </w:rPr>
              <w:t>Applicable Standard or Regulation</w:t>
            </w:r>
          </w:p>
        </w:tc>
      </w:tr>
      <w:tr w:rsidR="00AF6585" w:rsidRPr="003E3F0D" w14:paraId="521F38B7" w14:textId="77777777" w:rsidTr="3D09FF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90" w:type="dxa"/>
            <w:noWrap/>
            <w:hideMark/>
          </w:tcPr>
          <w:p w14:paraId="283B4B99" w14:textId="77777777" w:rsidR="003E3F0D" w:rsidRPr="003E3F0D" w:rsidRDefault="003E3F0D" w:rsidP="003E3F0D">
            <w:pPr>
              <w:rPr>
                <w:rFonts w:asciiTheme="majorHAnsi" w:eastAsia="Times New Roman" w:hAnsiTheme="majorHAnsi" w:cstheme="majorHAnsi"/>
                <w:color w:val="000000"/>
              </w:rPr>
            </w:pPr>
            <w:r w:rsidRPr="003E3F0D">
              <w:rPr>
                <w:rFonts w:asciiTheme="majorHAnsi" w:eastAsia="Times New Roman" w:hAnsiTheme="majorHAnsi" w:cstheme="majorHAnsi"/>
                <w:color w:val="000000"/>
              </w:rPr>
              <w:t>Combination product-specific supplier controls are not addressed explicitly.</w:t>
            </w:r>
          </w:p>
        </w:tc>
        <w:tc>
          <w:tcPr>
            <w:tcW w:w="1275" w:type="dxa"/>
            <w:noWrap/>
            <w:hideMark/>
          </w:tcPr>
          <w:p w14:paraId="05CFF27E" w14:textId="77777777" w:rsidR="003E3F0D" w:rsidRPr="003E3F0D" w:rsidRDefault="003E3F0D" w:rsidP="003E3F0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rPr>
            </w:pPr>
            <w:r w:rsidRPr="003E3F0D">
              <w:rPr>
                <w:rFonts w:asciiTheme="majorHAnsi" w:eastAsia="Times New Roman" w:hAnsiTheme="majorHAnsi" w:cstheme="majorHAnsi"/>
                <w:b/>
                <w:bCs/>
                <w:color w:val="000000"/>
              </w:rPr>
              <w:t>Critical</w:t>
            </w:r>
          </w:p>
        </w:tc>
        <w:tc>
          <w:tcPr>
            <w:tcW w:w="3327" w:type="dxa"/>
            <w:noWrap/>
            <w:hideMark/>
          </w:tcPr>
          <w:p w14:paraId="1596914F" w14:textId="77777777" w:rsidR="003E3F0D" w:rsidRPr="003E3F0D" w:rsidRDefault="003E3F0D" w:rsidP="003E3F0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3E3F0D">
              <w:rPr>
                <w:rFonts w:asciiTheme="majorHAnsi" w:eastAsia="Times New Roman" w:hAnsiTheme="majorHAnsi" w:cstheme="majorHAnsi"/>
                <w:color w:val="000000"/>
              </w:rPr>
              <w:t xml:space="preserve">The SOP applies broadly to </w:t>
            </w:r>
            <w:proofErr w:type="spellStart"/>
            <w:r w:rsidRPr="003E3F0D">
              <w:rPr>
                <w:rFonts w:asciiTheme="majorHAnsi" w:eastAsia="Times New Roman" w:hAnsiTheme="majorHAnsi" w:cstheme="majorHAnsi"/>
                <w:color w:val="000000"/>
              </w:rPr>
              <w:t>GxP</w:t>
            </w:r>
            <w:proofErr w:type="spellEnd"/>
            <w:r w:rsidRPr="003E3F0D">
              <w:rPr>
                <w:rFonts w:asciiTheme="majorHAnsi" w:eastAsia="Times New Roman" w:hAnsiTheme="majorHAnsi" w:cstheme="majorHAnsi"/>
                <w:color w:val="000000"/>
              </w:rPr>
              <w:t xml:space="preserve"> suppliers but does not address controls or dual compliance expectations for combination product suppliers under 21 CFR Part 4.</w:t>
            </w:r>
          </w:p>
        </w:tc>
        <w:tc>
          <w:tcPr>
            <w:tcW w:w="2880" w:type="dxa"/>
            <w:noWrap/>
            <w:hideMark/>
          </w:tcPr>
          <w:p w14:paraId="4C514CC1" w14:textId="77777777" w:rsidR="003E3F0D" w:rsidRPr="003E3F0D" w:rsidRDefault="003E3F0D" w:rsidP="003E3F0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3E3F0D">
              <w:rPr>
                <w:rFonts w:asciiTheme="majorHAnsi" w:eastAsia="Times New Roman" w:hAnsiTheme="majorHAnsi" w:cstheme="majorHAnsi"/>
                <w:color w:val="000000"/>
              </w:rPr>
              <w:t>Include a section specifically addressing supplier controls for combination products, referencing both device (21 CFR 820.50) and drug (21 CFR 211.80, 211.84) requirements.</w:t>
            </w:r>
          </w:p>
        </w:tc>
        <w:tc>
          <w:tcPr>
            <w:tcW w:w="3217" w:type="dxa"/>
            <w:noWrap/>
            <w:hideMark/>
          </w:tcPr>
          <w:p w14:paraId="65FA65C6" w14:textId="62F3F95E" w:rsidR="003E3F0D" w:rsidRPr="003E3F0D" w:rsidRDefault="23ECE3C3" w:rsidP="3D09FF8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Bidi"/>
                <w:color w:val="000000"/>
              </w:rPr>
            </w:pPr>
            <w:r w:rsidRPr="3D09FF86">
              <w:rPr>
                <w:rFonts w:asciiTheme="majorHAnsi" w:eastAsia="Times New Roman" w:hAnsiTheme="majorHAnsi" w:cstheme="majorBidi"/>
                <w:color w:val="000000" w:themeColor="text1"/>
              </w:rPr>
              <w:t>21 CFR Part 4(b)(1); 21 CFR 820.50; 21 CFR 211.84</w:t>
            </w:r>
            <w:r w:rsidR="29D5D362" w:rsidRPr="3D09FF86">
              <w:rPr>
                <w:rFonts w:asciiTheme="majorHAnsi" w:eastAsia="Times New Roman" w:hAnsiTheme="majorHAnsi" w:cstheme="majorBidi"/>
                <w:color w:val="000000" w:themeColor="text1"/>
              </w:rPr>
              <w:t xml:space="preserve"> </w:t>
            </w:r>
            <w:r w:rsidRPr="3D09FF86">
              <w:rPr>
                <w:rFonts w:asciiTheme="majorHAnsi" w:eastAsia="Times New Roman" w:hAnsiTheme="majorHAnsi" w:cstheme="majorBidi"/>
                <w:color w:val="000000" w:themeColor="text1"/>
              </w:rPr>
              <w:t>SOP-0019 Supplier Lifecycle Management</w:t>
            </w:r>
          </w:p>
        </w:tc>
      </w:tr>
      <w:tr w:rsidR="003E3F0D" w:rsidRPr="003E3F0D" w14:paraId="7DD3F57F" w14:textId="77777777" w:rsidTr="3D09FF86">
        <w:trPr>
          <w:trHeight w:val="300"/>
        </w:trPr>
        <w:tc>
          <w:tcPr>
            <w:cnfStyle w:val="001000000000" w:firstRow="0" w:lastRow="0" w:firstColumn="1" w:lastColumn="0" w:oddVBand="0" w:evenVBand="0" w:oddHBand="0" w:evenHBand="0" w:firstRowFirstColumn="0" w:firstRowLastColumn="0" w:lastRowFirstColumn="0" w:lastRowLastColumn="0"/>
            <w:tcW w:w="2790" w:type="dxa"/>
            <w:noWrap/>
            <w:hideMark/>
          </w:tcPr>
          <w:p w14:paraId="12CFB1E1" w14:textId="77777777" w:rsidR="003E3F0D" w:rsidRPr="003E3F0D" w:rsidRDefault="003E3F0D" w:rsidP="003E3F0D">
            <w:pPr>
              <w:rPr>
                <w:rFonts w:asciiTheme="majorHAnsi" w:eastAsia="Times New Roman" w:hAnsiTheme="majorHAnsi" w:cstheme="majorHAnsi"/>
                <w:color w:val="000000"/>
              </w:rPr>
            </w:pPr>
            <w:r w:rsidRPr="003E3F0D">
              <w:rPr>
                <w:rFonts w:asciiTheme="majorHAnsi" w:eastAsia="Times New Roman" w:hAnsiTheme="majorHAnsi" w:cstheme="majorHAnsi"/>
                <w:color w:val="000000"/>
              </w:rPr>
              <w:t>No requirement for documentation and evaluation of supplier-provided test methods or validation data.</w:t>
            </w:r>
          </w:p>
        </w:tc>
        <w:tc>
          <w:tcPr>
            <w:tcW w:w="1275" w:type="dxa"/>
            <w:noWrap/>
            <w:hideMark/>
          </w:tcPr>
          <w:p w14:paraId="44E7BFB5" w14:textId="77777777" w:rsidR="003E3F0D" w:rsidRPr="003E3F0D" w:rsidRDefault="003E3F0D" w:rsidP="003E3F0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rPr>
            </w:pPr>
            <w:r w:rsidRPr="003E3F0D">
              <w:rPr>
                <w:rFonts w:asciiTheme="majorHAnsi" w:eastAsia="Times New Roman" w:hAnsiTheme="majorHAnsi" w:cstheme="majorHAnsi"/>
                <w:b/>
                <w:bCs/>
                <w:color w:val="000000"/>
              </w:rPr>
              <w:t>Moderate</w:t>
            </w:r>
          </w:p>
        </w:tc>
        <w:tc>
          <w:tcPr>
            <w:tcW w:w="3327" w:type="dxa"/>
            <w:noWrap/>
            <w:hideMark/>
          </w:tcPr>
          <w:p w14:paraId="09B25AB9" w14:textId="77777777" w:rsidR="003E3F0D" w:rsidRPr="003E3F0D" w:rsidRDefault="003E3F0D" w:rsidP="003E3F0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3E3F0D">
              <w:rPr>
                <w:rFonts w:asciiTheme="majorHAnsi" w:eastAsia="Times New Roman" w:hAnsiTheme="majorHAnsi" w:cstheme="majorHAnsi"/>
                <w:color w:val="000000"/>
              </w:rPr>
              <w:t>While supplier assessments reference quality certifications, there is no requirement to verify supplier-provided testing methods or validation reports for critical components.</w:t>
            </w:r>
          </w:p>
        </w:tc>
        <w:tc>
          <w:tcPr>
            <w:tcW w:w="2880" w:type="dxa"/>
            <w:noWrap/>
            <w:hideMark/>
          </w:tcPr>
          <w:p w14:paraId="1A4F2820" w14:textId="77777777" w:rsidR="003E3F0D" w:rsidRPr="003E3F0D" w:rsidRDefault="003E3F0D" w:rsidP="003E3F0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3E3F0D">
              <w:rPr>
                <w:rFonts w:asciiTheme="majorHAnsi" w:eastAsia="Times New Roman" w:hAnsiTheme="majorHAnsi" w:cstheme="majorHAnsi"/>
                <w:color w:val="000000"/>
              </w:rPr>
              <w:t>Add a requirement to assess and document supplier test method validation or verification for critical raw materials or components.</w:t>
            </w:r>
          </w:p>
        </w:tc>
        <w:tc>
          <w:tcPr>
            <w:tcW w:w="3217" w:type="dxa"/>
            <w:noWrap/>
            <w:hideMark/>
          </w:tcPr>
          <w:p w14:paraId="69C320F3" w14:textId="1C86920D" w:rsidR="003E3F0D" w:rsidRPr="003E3F0D" w:rsidRDefault="003E3F0D" w:rsidP="003E3F0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3E3F0D">
              <w:rPr>
                <w:rFonts w:asciiTheme="majorHAnsi" w:eastAsia="Times New Roman" w:hAnsiTheme="majorHAnsi" w:cstheme="majorHAnsi"/>
                <w:color w:val="000000"/>
              </w:rPr>
              <w:t>21 CFR 820.50(a); ISO 13485:2016 §7.4.</w:t>
            </w:r>
            <w:r w:rsidR="00C37EDF" w:rsidRPr="00F145DA">
              <w:rPr>
                <w:rFonts w:asciiTheme="majorHAnsi" w:eastAsia="Times New Roman" w:hAnsiTheme="majorHAnsi" w:cstheme="majorHAnsi"/>
                <w:color w:val="000000"/>
              </w:rPr>
              <w:t xml:space="preserve"> </w:t>
            </w:r>
            <w:r w:rsidRPr="003E3F0D">
              <w:rPr>
                <w:rFonts w:asciiTheme="majorHAnsi" w:eastAsia="Times New Roman" w:hAnsiTheme="majorHAnsi" w:cstheme="majorHAnsi"/>
                <w:color w:val="000000"/>
              </w:rPr>
              <w:t>SOP-0019 Supplier Lifecycle Management</w:t>
            </w:r>
          </w:p>
        </w:tc>
      </w:tr>
      <w:tr w:rsidR="00AF6585" w:rsidRPr="003E3F0D" w14:paraId="228281C0" w14:textId="77777777" w:rsidTr="3D09FF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90" w:type="dxa"/>
            <w:noWrap/>
            <w:hideMark/>
          </w:tcPr>
          <w:p w14:paraId="477E0691" w14:textId="77777777" w:rsidR="003E3F0D" w:rsidRPr="003E3F0D" w:rsidRDefault="003E3F0D" w:rsidP="003E3F0D">
            <w:pPr>
              <w:rPr>
                <w:rFonts w:asciiTheme="majorHAnsi" w:eastAsia="Times New Roman" w:hAnsiTheme="majorHAnsi" w:cstheme="majorHAnsi"/>
                <w:color w:val="000000"/>
              </w:rPr>
            </w:pPr>
            <w:r w:rsidRPr="003E3F0D">
              <w:rPr>
                <w:rFonts w:asciiTheme="majorHAnsi" w:eastAsia="Times New Roman" w:hAnsiTheme="majorHAnsi" w:cstheme="majorHAnsi"/>
                <w:color w:val="000000"/>
              </w:rPr>
              <w:lastRenderedPageBreak/>
              <w:t>No reference to supplier notification of changes to manufacturing processes or specifications.</w:t>
            </w:r>
          </w:p>
        </w:tc>
        <w:tc>
          <w:tcPr>
            <w:tcW w:w="1275" w:type="dxa"/>
            <w:noWrap/>
            <w:hideMark/>
          </w:tcPr>
          <w:p w14:paraId="48CEC536" w14:textId="77777777" w:rsidR="003E3F0D" w:rsidRPr="003E3F0D" w:rsidRDefault="003E3F0D" w:rsidP="003E3F0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rPr>
            </w:pPr>
            <w:r w:rsidRPr="003E3F0D">
              <w:rPr>
                <w:rFonts w:asciiTheme="majorHAnsi" w:eastAsia="Times New Roman" w:hAnsiTheme="majorHAnsi" w:cstheme="majorHAnsi"/>
                <w:b/>
                <w:bCs/>
                <w:color w:val="000000"/>
              </w:rPr>
              <w:t>Moderate</w:t>
            </w:r>
          </w:p>
        </w:tc>
        <w:tc>
          <w:tcPr>
            <w:tcW w:w="3327" w:type="dxa"/>
            <w:noWrap/>
            <w:hideMark/>
          </w:tcPr>
          <w:p w14:paraId="3F708EF8" w14:textId="77777777" w:rsidR="003E3F0D" w:rsidRPr="003E3F0D" w:rsidRDefault="003E3F0D" w:rsidP="003E3F0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3E3F0D">
              <w:rPr>
                <w:rFonts w:asciiTheme="majorHAnsi" w:eastAsia="Times New Roman" w:hAnsiTheme="majorHAnsi" w:cstheme="majorHAnsi"/>
                <w:color w:val="000000"/>
              </w:rPr>
              <w:t>The SOP outlines surveillance and requalification but does not explicitly require suppliers to notify the organization of process or specification changes.</w:t>
            </w:r>
          </w:p>
        </w:tc>
        <w:tc>
          <w:tcPr>
            <w:tcW w:w="2880" w:type="dxa"/>
            <w:noWrap/>
            <w:hideMark/>
          </w:tcPr>
          <w:p w14:paraId="5C299E94" w14:textId="77777777" w:rsidR="003E3F0D" w:rsidRPr="003E3F0D" w:rsidRDefault="003E3F0D" w:rsidP="003E3F0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3E3F0D">
              <w:rPr>
                <w:rFonts w:asciiTheme="majorHAnsi" w:eastAsia="Times New Roman" w:hAnsiTheme="majorHAnsi" w:cstheme="majorHAnsi"/>
                <w:color w:val="000000"/>
              </w:rPr>
              <w:t>Require contractual obligations for suppliers to notify of any changes in manufacturing process, test methods, or specifications.</w:t>
            </w:r>
          </w:p>
        </w:tc>
        <w:tc>
          <w:tcPr>
            <w:tcW w:w="3217" w:type="dxa"/>
            <w:noWrap/>
            <w:hideMark/>
          </w:tcPr>
          <w:p w14:paraId="43B56F7A" w14:textId="5F08525E" w:rsidR="003E3F0D" w:rsidRPr="003E3F0D" w:rsidRDefault="003E3F0D" w:rsidP="003E3F0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3E3F0D">
              <w:rPr>
                <w:rFonts w:asciiTheme="majorHAnsi" w:eastAsia="Times New Roman" w:hAnsiTheme="majorHAnsi" w:cstheme="majorHAnsi"/>
                <w:color w:val="000000"/>
              </w:rPr>
              <w:t>21 CFR 820.50(b); ISO 13485:2016 §7.4.3 SOP-0019 Supplier Lifecycle Management</w:t>
            </w:r>
          </w:p>
        </w:tc>
      </w:tr>
      <w:tr w:rsidR="003E3F0D" w:rsidRPr="003E3F0D" w14:paraId="59ACE332" w14:textId="77777777" w:rsidTr="3D09FF86">
        <w:trPr>
          <w:trHeight w:val="300"/>
        </w:trPr>
        <w:tc>
          <w:tcPr>
            <w:cnfStyle w:val="001000000000" w:firstRow="0" w:lastRow="0" w:firstColumn="1" w:lastColumn="0" w:oddVBand="0" w:evenVBand="0" w:oddHBand="0" w:evenHBand="0" w:firstRowFirstColumn="0" w:firstRowLastColumn="0" w:lastRowFirstColumn="0" w:lastRowLastColumn="0"/>
            <w:tcW w:w="2790" w:type="dxa"/>
            <w:noWrap/>
            <w:hideMark/>
          </w:tcPr>
          <w:p w14:paraId="03B861D8" w14:textId="77777777" w:rsidR="003E3F0D" w:rsidRPr="003E3F0D" w:rsidRDefault="003E3F0D" w:rsidP="003E3F0D">
            <w:pPr>
              <w:rPr>
                <w:rFonts w:asciiTheme="majorHAnsi" w:eastAsia="Times New Roman" w:hAnsiTheme="majorHAnsi" w:cstheme="majorHAnsi"/>
                <w:color w:val="000000"/>
              </w:rPr>
            </w:pPr>
            <w:r w:rsidRPr="003E3F0D">
              <w:rPr>
                <w:rFonts w:asciiTheme="majorHAnsi" w:eastAsia="Times New Roman" w:hAnsiTheme="majorHAnsi" w:cstheme="majorHAnsi"/>
                <w:color w:val="000000"/>
              </w:rPr>
              <w:t>Approved Supplier List (ASL) lacks requirement to define supplier approval status rationale.</w:t>
            </w:r>
          </w:p>
        </w:tc>
        <w:tc>
          <w:tcPr>
            <w:tcW w:w="1275" w:type="dxa"/>
            <w:noWrap/>
            <w:hideMark/>
          </w:tcPr>
          <w:p w14:paraId="538E4CB2" w14:textId="77777777" w:rsidR="003E3F0D" w:rsidRPr="003E3F0D" w:rsidRDefault="003E3F0D" w:rsidP="003E3F0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rPr>
            </w:pPr>
            <w:r w:rsidRPr="003E3F0D">
              <w:rPr>
                <w:rFonts w:asciiTheme="majorHAnsi" w:eastAsia="Times New Roman" w:hAnsiTheme="majorHAnsi" w:cstheme="majorHAnsi"/>
                <w:b/>
                <w:bCs/>
                <w:color w:val="000000"/>
              </w:rPr>
              <w:t>Minor</w:t>
            </w:r>
          </w:p>
        </w:tc>
        <w:tc>
          <w:tcPr>
            <w:tcW w:w="3327" w:type="dxa"/>
            <w:noWrap/>
            <w:hideMark/>
          </w:tcPr>
          <w:p w14:paraId="15212F78" w14:textId="77777777" w:rsidR="003E3F0D" w:rsidRPr="003E3F0D" w:rsidRDefault="003E3F0D" w:rsidP="003E3F0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3E3F0D">
              <w:rPr>
                <w:rFonts w:asciiTheme="majorHAnsi" w:eastAsia="Times New Roman" w:hAnsiTheme="majorHAnsi" w:cstheme="majorHAnsi"/>
                <w:color w:val="000000"/>
              </w:rPr>
              <w:t>The SOP defines ASL status levels, but it does not require documentation of rationale for conditional approval or disqualification beyond narrative in a form.</w:t>
            </w:r>
          </w:p>
        </w:tc>
        <w:tc>
          <w:tcPr>
            <w:tcW w:w="2880" w:type="dxa"/>
            <w:noWrap/>
            <w:hideMark/>
          </w:tcPr>
          <w:p w14:paraId="3526CA2A" w14:textId="77777777" w:rsidR="003E3F0D" w:rsidRPr="003E3F0D" w:rsidRDefault="003E3F0D" w:rsidP="003E3F0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3E3F0D">
              <w:rPr>
                <w:rFonts w:asciiTheme="majorHAnsi" w:eastAsia="Times New Roman" w:hAnsiTheme="majorHAnsi" w:cstheme="majorHAnsi"/>
                <w:color w:val="000000"/>
              </w:rPr>
              <w:t>Update procedure to mandate justification for all ASL statuses be recorded and traceable in quality records.</w:t>
            </w:r>
          </w:p>
        </w:tc>
        <w:tc>
          <w:tcPr>
            <w:tcW w:w="3217" w:type="dxa"/>
            <w:noWrap/>
            <w:hideMark/>
          </w:tcPr>
          <w:p w14:paraId="2C26703F" w14:textId="41A5E3F0" w:rsidR="003E3F0D" w:rsidRPr="003E3F0D" w:rsidRDefault="23ECE3C3" w:rsidP="3D09FF8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Bidi"/>
                <w:color w:val="000000"/>
              </w:rPr>
            </w:pPr>
            <w:r w:rsidRPr="3D09FF86">
              <w:rPr>
                <w:rFonts w:asciiTheme="majorHAnsi" w:eastAsia="Times New Roman" w:hAnsiTheme="majorHAnsi" w:cstheme="majorBidi"/>
                <w:color w:val="000000" w:themeColor="text1"/>
              </w:rPr>
              <w:t>21 CFR 820.50(a); ISO 13485:2016 §7.4.1</w:t>
            </w:r>
            <w:r w:rsidR="27B1C1A6" w:rsidRPr="3D09FF86">
              <w:rPr>
                <w:rFonts w:asciiTheme="majorHAnsi" w:eastAsia="Times New Roman" w:hAnsiTheme="majorHAnsi" w:cstheme="majorBidi"/>
                <w:color w:val="000000" w:themeColor="text1"/>
              </w:rPr>
              <w:t xml:space="preserve"> </w:t>
            </w:r>
            <w:r w:rsidRPr="3D09FF86">
              <w:rPr>
                <w:rFonts w:asciiTheme="majorHAnsi" w:eastAsia="Times New Roman" w:hAnsiTheme="majorHAnsi" w:cstheme="majorBidi"/>
                <w:color w:val="000000" w:themeColor="text1"/>
              </w:rPr>
              <w:t>SOP-0019 Supplier Lifecycle Management</w:t>
            </w:r>
          </w:p>
        </w:tc>
      </w:tr>
      <w:tr w:rsidR="00AF6585" w:rsidRPr="003E3F0D" w14:paraId="7C9CF3E8" w14:textId="77777777" w:rsidTr="3D09FF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90" w:type="dxa"/>
            <w:noWrap/>
            <w:hideMark/>
          </w:tcPr>
          <w:p w14:paraId="5894EBD9" w14:textId="77777777" w:rsidR="003E3F0D" w:rsidRPr="003E3F0D" w:rsidRDefault="003E3F0D" w:rsidP="003E3F0D">
            <w:pPr>
              <w:rPr>
                <w:rFonts w:asciiTheme="majorHAnsi" w:eastAsia="Times New Roman" w:hAnsiTheme="majorHAnsi" w:cstheme="majorHAnsi"/>
                <w:color w:val="000000"/>
              </w:rPr>
            </w:pPr>
            <w:r w:rsidRPr="003E3F0D">
              <w:rPr>
                <w:rFonts w:asciiTheme="majorHAnsi" w:eastAsia="Times New Roman" w:hAnsiTheme="majorHAnsi" w:cstheme="majorHAnsi"/>
                <w:color w:val="000000"/>
              </w:rPr>
              <w:t>Risk management references ISO 14971 indirectly but lacks structured linkage.</w:t>
            </w:r>
          </w:p>
        </w:tc>
        <w:tc>
          <w:tcPr>
            <w:tcW w:w="1275" w:type="dxa"/>
            <w:noWrap/>
            <w:hideMark/>
          </w:tcPr>
          <w:p w14:paraId="6428D93E" w14:textId="77777777" w:rsidR="003E3F0D" w:rsidRPr="003E3F0D" w:rsidRDefault="003E3F0D" w:rsidP="003E3F0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rPr>
            </w:pPr>
            <w:r w:rsidRPr="003E3F0D">
              <w:rPr>
                <w:rFonts w:asciiTheme="majorHAnsi" w:eastAsia="Times New Roman" w:hAnsiTheme="majorHAnsi" w:cstheme="majorHAnsi"/>
                <w:b/>
                <w:bCs/>
                <w:color w:val="000000"/>
              </w:rPr>
              <w:t>Minor</w:t>
            </w:r>
          </w:p>
        </w:tc>
        <w:tc>
          <w:tcPr>
            <w:tcW w:w="3327" w:type="dxa"/>
            <w:noWrap/>
            <w:hideMark/>
          </w:tcPr>
          <w:p w14:paraId="0E231191" w14:textId="77777777" w:rsidR="003E3F0D" w:rsidRPr="003E3F0D" w:rsidRDefault="003E3F0D" w:rsidP="003E3F0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3E3F0D">
              <w:rPr>
                <w:rFonts w:asciiTheme="majorHAnsi" w:eastAsia="Times New Roman" w:hAnsiTheme="majorHAnsi" w:cstheme="majorHAnsi"/>
                <w:color w:val="000000"/>
              </w:rPr>
              <w:t xml:space="preserve">Section 5.8 mentions following SOP-0035 for risk </w:t>
            </w:r>
            <w:proofErr w:type="gramStart"/>
            <w:r w:rsidRPr="003E3F0D">
              <w:rPr>
                <w:rFonts w:asciiTheme="majorHAnsi" w:eastAsia="Times New Roman" w:hAnsiTheme="majorHAnsi" w:cstheme="majorHAnsi"/>
                <w:color w:val="000000"/>
              </w:rPr>
              <w:t>assessment, but</w:t>
            </w:r>
            <w:proofErr w:type="gramEnd"/>
            <w:r w:rsidRPr="003E3F0D">
              <w:rPr>
                <w:rFonts w:asciiTheme="majorHAnsi" w:eastAsia="Times New Roman" w:hAnsiTheme="majorHAnsi" w:cstheme="majorHAnsi"/>
                <w:color w:val="000000"/>
              </w:rPr>
              <w:t xml:space="preserve"> does not directly link supplier evaluation criteria to ISO 14971 risk acceptability thresholds.</w:t>
            </w:r>
          </w:p>
        </w:tc>
        <w:tc>
          <w:tcPr>
            <w:tcW w:w="2880" w:type="dxa"/>
            <w:noWrap/>
            <w:hideMark/>
          </w:tcPr>
          <w:p w14:paraId="7265ACAF" w14:textId="77777777" w:rsidR="003E3F0D" w:rsidRPr="003E3F0D" w:rsidRDefault="003E3F0D" w:rsidP="003E3F0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3E3F0D">
              <w:rPr>
                <w:rFonts w:asciiTheme="majorHAnsi" w:eastAsia="Times New Roman" w:hAnsiTheme="majorHAnsi" w:cstheme="majorHAnsi"/>
                <w:color w:val="000000"/>
              </w:rPr>
              <w:t>Ensure supplier risk evaluation incorporates defined risk acceptability criteria aligned with ISO 14971 for combination product suppliers.</w:t>
            </w:r>
          </w:p>
        </w:tc>
        <w:tc>
          <w:tcPr>
            <w:tcW w:w="3217" w:type="dxa"/>
            <w:noWrap/>
            <w:hideMark/>
          </w:tcPr>
          <w:p w14:paraId="419E9A94" w14:textId="0E9E3CA9" w:rsidR="003E3F0D" w:rsidRPr="003E3F0D" w:rsidRDefault="003E3F0D" w:rsidP="003E3F0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3E3F0D">
              <w:rPr>
                <w:rFonts w:asciiTheme="majorHAnsi" w:eastAsia="Times New Roman" w:hAnsiTheme="majorHAnsi" w:cstheme="majorHAnsi"/>
                <w:color w:val="000000"/>
              </w:rPr>
              <w:t>ISO 14971:2019 §6.4; ISO 13485:2016</w:t>
            </w:r>
            <w:r w:rsidR="002D19D1" w:rsidRPr="00F145DA">
              <w:rPr>
                <w:rFonts w:asciiTheme="majorHAnsi" w:eastAsia="Times New Roman" w:hAnsiTheme="majorHAnsi" w:cstheme="majorHAnsi"/>
                <w:color w:val="000000"/>
              </w:rPr>
              <w:t xml:space="preserve"> </w:t>
            </w:r>
            <w:r w:rsidRPr="003E3F0D">
              <w:rPr>
                <w:rFonts w:asciiTheme="majorHAnsi" w:eastAsia="Times New Roman" w:hAnsiTheme="majorHAnsi" w:cstheme="majorHAnsi"/>
                <w:color w:val="000000"/>
              </w:rPr>
              <w:t>§7.1</w:t>
            </w:r>
            <w:r w:rsidR="00E47AE5">
              <w:rPr>
                <w:rFonts w:asciiTheme="majorHAnsi" w:eastAsia="Times New Roman" w:hAnsiTheme="majorHAnsi" w:cstheme="majorHAnsi"/>
                <w:color w:val="000000"/>
              </w:rPr>
              <w:t xml:space="preserve"> </w:t>
            </w:r>
            <w:r w:rsidRPr="003E3F0D">
              <w:rPr>
                <w:rFonts w:asciiTheme="majorHAnsi" w:eastAsia="Times New Roman" w:hAnsiTheme="majorHAnsi" w:cstheme="majorHAnsi"/>
                <w:color w:val="000000"/>
              </w:rPr>
              <w:t>SOP-0019 Supplier Lifecycle Management</w:t>
            </w:r>
          </w:p>
        </w:tc>
      </w:tr>
    </w:tbl>
    <w:p w14:paraId="26E5D241" w14:textId="77777777" w:rsidR="003E3F0D" w:rsidRPr="00F145DA" w:rsidRDefault="003E3F0D" w:rsidP="00543783">
      <w:pPr>
        <w:rPr>
          <w:rFonts w:asciiTheme="majorHAnsi" w:hAnsiTheme="majorHAnsi" w:cstheme="majorHAnsi"/>
        </w:rPr>
      </w:pPr>
    </w:p>
    <w:p w14:paraId="2EA6AE6E" w14:textId="77777777" w:rsidR="003E3F0D" w:rsidRPr="00F145DA" w:rsidRDefault="003E3F0D" w:rsidP="00543783">
      <w:pPr>
        <w:rPr>
          <w:rFonts w:asciiTheme="majorHAnsi" w:hAnsiTheme="majorHAnsi" w:cstheme="majorHAnsi"/>
        </w:rPr>
      </w:pPr>
    </w:p>
    <w:p w14:paraId="4E67846F" w14:textId="77777777" w:rsidR="003E3F0D" w:rsidRPr="00543783" w:rsidRDefault="003E3F0D" w:rsidP="00543783">
      <w:pPr>
        <w:rPr>
          <w:rFonts w:asciiTheme="majorHAnsi" w:hAnsiTheme="majorHAnsi" w:cstheme="majorHAnsi"/>
        </w:rPr>
      </w:pPr>
    </w:p>
    <w:p w14:paraId="08C2C379" w14:textId="77777777" w:rsidR="00543783" w:rsidRPr="00543783" w:rsidRDefault="00543783" w:rsidP="00543783">
      <w:pPr>
        <w:rPr>
          <w:rFonts w:asciiTheme="majorHAnsi" w:hAnsiTheme="majorHAnsi" w:cstheme="majorHAnsi"/>
          <w:b/>
          <w:bCs/>
        </w:rPr>
      </w:pPr>
      <w:r w:rsidRPr="00543783">
        <w:rPr>
          <w:rFonts w:asciiTheme="majorHAnsi" w:hAnsiTheme="majorHAnsi" w:cstheme="majorHAnsi"/>
          <w:b/>
          <w:bCs/>
        </w:rPr>
        <w:t>Key Findings Summary</w:t>
      </w:r>
    </w:p>
    <w:tbl>
      <w:tblPr>
        <w:tblStyle w:val="GridTable2-Accent3"/>
        <w:tblW w:w="13320" w:type="dxa"/>
        <w:tblLook w:val="04A0" w:firstRow="1" w:lastRow="0" w:firstColumn="1" w:lastColumn="0" w:noHBand="0" w:noVBand="1"/>
      </w:tblPr>
      <w:tblGrid>
        <w:gridCol w:w="1290"/>
        <w:gridCol w:w="6555"/>
        <w:gridCol w:w="5475"/>
      </w:tblGrid>
      <w:tr w:rsidR="00543783" w:rsidRPr="00543783" w14:paraId="0EFB2BAB" w14:textId="77777777" w:rsidTr="3D09F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hideMark/>
          </w:tcPr>
          <w:p w14:paraId="32D1A444" w14:textId="77777777" w:rsidR="00543783" w:rsidRPr="00543783" w:rsidRDefault="00543783" w:rsidP="00543783">
            <w:pPr>
              <w:rPr>
                <w:rFonts w:asciiTheme="majorHAnsi" w:hAnsiTheme="majorHAnsi" w:cstheme="majorHAnsi"/>
              </w:rPr>
            </w:pPr>
            <w:r w:rsidRPr="00543783">
              <w:rPr>
                <w:rFonts w:asciiTheme="majorHAnsi" w:hAnsiTheme="majorHAnsi" w:cstheme="majorHAnsi"/>
              </w:rPr>
              <w:t>Severity</w:t>
            </w:r>
          </w:p>
        </w:tc>
        <w:tc>
          <w:tcPr>
            <w:tcW w:w="6555" w:type="dxa"/>
            <w:hideMark/>
          </w:tcPr>
          <w:p w14:paraId="2F979E18" w14:textId="77777777" w:rsidR="00543783" w:rsidRPr="00543783" w:rsidRDefault="00543783" w:rsidP="0054378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543783">
              <w:rPr>
                <w:rFonts w:asciiTheme="majorHAnsi" w:hAnsiTheme="majorHAnsi" w:cstheme="majorHAnsi"/>
              </w:rPr>
              <w:t>Area of Concern</w:t>
            </w:r>
          </w:p>
        </w:tc>
        <w:tc>
          <w:tcPr>
            <w:tcW w:w="5475" w:type="dxa"/>
            <w:hideMark/>
          </w:tcPr>
          <w:p w14:paraId="6698CCF1" w14:textId="77777777" w:rsidR="00543783" w:rsidRPr="00543783" w:rsidRDefault="00543783" w:rsidP="0054378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543783">
              <w:rPr>
                <w:rFonts w:asciiTheme="majorHAnsi" w:hAnsiTheme="majorHAnsi" w:cstheme="majorHAnsi"/>
              </w:rPr>
              <w:t>Impact</w:t>
            </w:r>
          </w:p>
        </w:tc>
      </w:tr>
      <w:tr w:rsidR="00543783" w:rsidRPr="00543783" w14:paraId="422CF2E5" w14:textId="77777777" w:rsidTr="3D09F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hideMark/>
          </w:tcPr>
          <w:p w14:paraId="54C70B19" w14:textId="77777777" w:rsidR="00543783" w:rsidRPr="00543783" w:rsidRDefault="00543783" w:rsidP="00543783">
            <w:pPr>
              <w:rPr>
                <w:rFonts w:asciiTheme="majorHAnsi" w:hAnsiTheme="majorHAnsi" w:cstheme="majorHAnsi"/>
              </w:rPr>
            </w:pPr>
            <w:r w:rsidRPr="00543783">
              <w:rPr>
                <w:rFonts w:asciiTheme="majorHAnsi" w:hAnsiTheme="majorHAnsi" w:cstheme="majorHAnsi"/>
              </w:rPr>
              <w:t>Critical</w:t>
            </w:r>
          </w:p>
        </w:tc>
        <w:tc>
          <w:tcPr>
            <w:tcW w:w="6555" w:type="dxa"/>
            <w:hideMark/>
          </w:tcPr>
          <w:p w14:paraId="73019EF6" w14:textId="77777777" w:rsidR="00543783" w:rsidRPr="006B2647" w:rsidRDefault="00543783" w:rsidP="0054378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B2647">
              <w:rPr>
                <w:rFonts w:asciiTheme="majorHAnsi" w:hAnsiTheme="majorHAnsi" w:cstheme="majorHAnsi"/>
              </w:rPr>
              <w:t>No explicit procedures addressing combination product supplier requirements</w:t>
            </w:r>
          </w:p>
        </w:tc>
        <w:tc>
          <w:tcPr>
            <w:tcW w:w="5475" w:type="dxa"/>
            <w:hideMark/>
          </w:tcPr>
          <w:p w14:paraId="203C3E40" w14:textId="77777777" w:rsidR="00543783" w:rsidRPr="006B2647" w:rsidRDefault="00543783" w:rsidP="0054378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B2647">
              <w:rPr>
                <w:rFonts w:asciiTheme="majorHAnsi" w:hAnsiTheme="majorHAnsi" w:cstheme="majorHAnsi"/>
              </w:rPr>
              <w:t>May result in regulatory noncompliance under 21 CFR Part 4</w:t>
            </w:r>
          </w:p>
        </w:tc>
      </w:tr>
      <w:tr w:rsidR="00543783" w:rsidRPr="00543783" w14:paraId="61A52CCF" w14:textId="77777777" w:rsidTr="3D09FF86">
        <w:tc>
          <w:tcPr>
            <w:cnfStyle w:val="001000000000" w:firstRow="0" w:lastRow="0" w:firstColumn="1" w:lastColumn="0" w:oddVBand="0" w:evenVBand="0" w:oddHBand="0" w:evenHBand="0" w:firstRowFirstColumn="0" w:firstRowLastColumn="0" w:lastRowFirstColumn="0" w:lastRowLastColumn="0"/>
            <w:tcW w:w="1290" w:type="dxa"/>
            <w:hideMark/>
          </w:tcPr>
          <w:p w14:paraId="516F0645" w14:textId="77777777" w:rsidR="00543783" w:rsidRPr="00543783" w:rsidRDefault="00543783" w:rsidP="00543783">
            <w:pPr>
              <w:rPr>
                <w:rFonts w:asciiTheme="majorHAnsi" w:hAnsiTheme="majorHAnsi" w:cstheme="majorHAnsi"/>
              </w:rPr>
            </w:pPr>
            <w:r w:rsidRPr="00543783">
              <w:rPr>
                <w:rFonts w:asciiTheme="majorHAnsi" w:hAnsiTheme="majorHAnsi" w:cstheme="majorHAnsi"/>
              </w:rPr>
              <w:t>Moderate</w:t>
            </w:r>
          </w:p>
        </w:tc>
        <w:tc>
          <w:tcPr>
            <w:tcW w:w="6555" w:type="dxa"/>
            <w:hideMark/>
          </w:tcPr>
          <w:p w14:paraId="61EFD427" w14:textId="77777777" w:rsidR="00176512" w:rsidRPr="006B2647" w:rsidRDefault="00543783" w:rsidP="0054378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B2647">
              <w:rPr>
                <w:rFonts w:asciiTheme="majorHAnsi" w:hAnsiTheme="majorHAnsi" w:cstheme="majorHAnsi"/>
              </w:rPr>
              <w:t xml:space="preserve">Missing requirements for: </w:t>
            </w:r>
          </w:p>
          <w:p w14:paraId="5C95E88A" w14:textId="77777777" w:rsidR="00176512" w:rsidRPr="006B2647" w:rsidRDefault="00543783" w:rsidP="0054378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B2647">
              <w:rPr>
                <w:rFonts w:asciiTheme="majorHAnsi" w:hAnsiTheme="majorHAnsi" w:cstheme="majorHAnsi"/>
              </w:rPr>
              <w:t>• Reviewing supplier test methods/validation</w:t>
            </w:r>
          </w:p>
          <w:p w14:paraId="2B505F0F" w14:textId="48AAD40E" w:rsidR="00543783" w:rsidRPr="006B2647" w:rsidRDefault="00543783" w:rsidP="0054378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B2647">
              <w:rPr>
                <w:rFonts w:asciiTheme="majorHAnsi" w:hAnsiTheme="majorHAnsi" w:cstheme="majorHAnsi"/>
              </w:rPr>
              <w:lastRenderedPageBreak/>
              <w:t xml:space="preserve">• </w:t>
            </w:r>
            <w:proofErr w:type="gramStart"/>
            <w:r w:rsidRPr="006B2647">
              <w:rPr>
                <w:rFonts w:asciiTheme="majorHAnsi" w:hAnsiTheme="majorHAnsi" w:cstheme="majorHAnsi"/>
              </w:rPr>
              <w:t>Supplier</w:t>
            </w:r>
            <w:proofErr w:type="gramEnd"/>
            <w:r w:rsidRPr="006B2647">
              <w:rPr>
                <w:rFonts w:asciiTheme="majorHAnsi" w:hAnsiTheme="majorHAnsi" w:cstheme="majorHAnsi"/>
              </w:rPr>
              <w:t xml:space="preserve"> change notifications</w:t>
            </w:r>
          </w:p>
        </w:tc>
        <w:tc>
          <w:tcPr>
            <w:tcW w:w="5475" w:type="dxa"/>
            <w:hideMark/>
          </w:tcPr>
          <w:p w14:paraId="455B7BB2" w14:textId="77777777" w:rsidR="00543783" w:rsidRPr="00543783" w:rsidRDefault="00543783" w:rsidP="0054378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43783">
              <w:rPr>
                <w:rFonts w:asciiTheme="majorHAnsi" w:hAnsiTheme="majorHAnsi" w:cstheme="majorHAnsi"/>
              </w:rPr>
              <w:lastRenderedPageBreak/>
              <w:t>Weakens control over component quality and traceability</w:t>
            </w:r>
          </w:p>
        </w:tc>
      </w:tr>
      <w:tr w:rsidR="00543783" w:rsidRPr="00543783" w14:paraId="587A4D36" w14:textId="77777777" w:rsidTr="3D09F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hideMark/>
          </w:tcPr>
          <w:p w14:paraId="18B4F68A" w14:textId="77777777" w:rsidR="00543783" w:rsidRPr="00543783" w:rsidRDefault="00543783" w:rsidP="00543783">
            <w:pPr>
              <w:rPr>
                <w:rFonts w:asciiTheme="majorHAnsi" w:hAnsiTheme="majorHAnsi" w:cstheme="majorHAnsi"/>
              </w:rPr>
            </w:pPr>
            <w:r w:rsidRPr="00543783">
              <w:rPr>
                <w:rFonts w:asciiTheme="majorHAnsi" w:hAnsiTheme="majorHAnsi" w:cstheme="majorHAnsi"/>
              </w:rPr>
              <w:t>Minor</w:t>
            </w:r>
          </w:p>
        </w:tc>
        <w:tc>
          <w:tcPr>
            <w:tcW w:w="6555" w:type="dxa"/>
            <w:hideMark/>
          </w:tcPr>
          <w:p w14:paraId="7162D0D7" w14:textId="77777777" w:rsidR="00543783" w:rsidRPr="006B2647" w:rsidRDefault="00543783" w:rsidP="0054378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B2647">
              <w:rPr>
                <w:rFonts w:asciiTheme="majorHAnsi" w:hAnsiTheme="majorHAnsi" w:cstheme="majorHAnsi"/>
              </w:rPr>
              <w:t>Incomplete documentation standards in ASL and indirect ISO 14971 linkage</w:t>
            </w:r>
          </w:p>
        </w:tc>
        <w:tc>
          <w:tcPr>
            <w:tcW w:w="5475" w:type="dxa"/>
            <w:hideMark/>
          </w:tcPr>
          <w:p w14:paraId="76F2B799" w14:textId="77777777" w:rsidR="00543783" w:rsidRPr="00543783" w:rsidRDefault="00543783" w:rsidP="0054378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43783">
              <w:rPr>
                <w:rFonts w:asciiTheme="majorHAnsi" w:hAnsiTheme="majorHAnsi" w:cstheme="majorHAnsi"/>
              </w:rPr>
              <w:t>May reduce audit traceability and weaken risk justifications</w:t>
            </w:r>
          </w:p>
        </w:tc>
      </w:tr>
    </w:tbl>
    <w:p w14:paraId="2CD353FD" w14:textId="77777777" w:rsidR="00647193" w:rsidRDefault="00647193" w:rsidP="00D00E17">
      <w:pPr>
        <w:rPr>
          <w:rFonts w:asciiTheme="majorHAnsi" w:hAnsiTheme="majorHAnsi" w:cstheme="majorHAnsi"/>
        </w:rPr>
      </w:pPr>
    </w:p>
    <w:p w14:paraId="16EFD19B" w14:textId="4C00D70D" w:rsidR="003D2103" w:rsidRPr="00F145DA" w:rsidRDefault="00656355" w:rsidP="00D00E17">
      <w:pPr>
        <w:rPr>
          <w:rFonts w:asciiTheme="majorHAnsi" w:hAnsiTheme="majorHAnsi" w:cstheme="majorHAnsi"/>
        </w:rPr>
      </w:pPr>
      <w:r>
        <w:rPr>
          <w:rFonts w:asciiTheme="majorHAnsi" w:hAnsiTheme="majorHAnsi" w:cstheme="majorHAnsi"/>
        </w:rPr>
        <w:pict w14:anchorId="0948E188">
          <v:rect id="_x0000_i1039" style="width:0;height:1.5pt" o:hralign="center" o:hrstd="t" o:hr="t" fillcolor="#a0a0a0" stroked="f"/>
        </w:pict>
      </w:r>
    </w:p>
    <w:p w14:paraId="32783FCE" w14:textId="0162B55F" w:rsidR="00DE24CA" w:rsidRDefault="00DE24CA">
      <w:pPr>
        <w:rPr>
          <w:rFonts w:asciiTheme="majorHAnsi" w:hAnsiTheme="majorHAnsi" w:cstheme="majorHAnsi"/>
        </w:rPr>
      </w:pPr>
      <w:r>
        <w:rPr>
          <w:rFonts w:asciiTheme="majorHAnsi" w:hAnsiTheme="majorHAnsi" w:cstheme="majorHAnsi"/>
        </w:rPr>
        <w:br w:type="page"/>
      </w:r>
    </w:p>
    <w:p w14:paraId="42D4B735" w14:textId="77777777" w:rsidR="00176512" w:rsidRPr="00F145DA" w:rsidRDefault="00176512" w:rsidP="00D00E17">
      <w:pPr>
        <w:rPr>
          <w:rFonts w:asciiTheme="majorHAnsi" w:hAnsiTheme="majorHAnsi" w:cstheme="majorHAnsi"/>
        </w:rPr>
      </w:pPr>
    </w:p>
    <w:p w14:paraId="5E421741" w14:textId="23BD7272" w:rsidR="00DC423E" w:rsidRPr="004E2C59" w:rsidRDefault="00DC423E" w:rsidP="00DC423E">
      <w:pPr>
        <w:spacing w:before="100" w:beforeAutospacing="1" w:after="100" w:afterAutospacing="1"/>
        <w:outlineLvl w:val="2"/>
        <w:rPr>
          <w:rFonts w:asciiTheme="majorHAnsi" w:eastAsia="Times New Roman" w:hAnsiTheme="majorHAnsi" w:cstheme="majorHAnsi"/>
          <w:b/>
          <w:bCs/>
          <w:sz w:val="28"/>
          <w:szCs w:val="28"/>
        </w:rPr>
      </w:pPr>
      <w:r w:rsidRPr="004E2C59">
        <w:rPr>
          <w:rFonts w:asciiTheme="majorHAnsi" w:eastAsia="Times New Roman" w:hAnsiTheme="majorHAnsi" w:cstheme="majorHAnsi"/>
          <w:b/>
          <w:bCs/>
          <w:sz w:val="28"/>
          <w:szCs w:val="28"/>
        </w:rPr>
        <w:t>Document Reviewed: SOP-00</w:t>
      </w:r>
      <w:r>
        <w:rPr>
          <w:rFonts w:asciiTheme="majorHAnsi" w:eastAsia="Times New Roman" w:hAnsiTheme="majorHAnsi" w:cstheme="majorHAnsi"/>
          <w:b/>
          <w:bCs/>
          <w:sz w:val="28"/>
          <w:szCs w:val="28"/>
        </w:rPr>
        <w:t>23: Quality Agreements (QAGs) Lifecycle Management</w:t>
      </w:r>
    </w:p>
    <w:p w14:paraId="70A9EB54" w14:textId="77777777" w:rsidR="00BE7233" w:rsidRPr="00F145DA" w:rsidRDefault="00BE7233" w:rsidP="00D00E17">
      <w:pPr>
        <w:rPr>
          <w:rFonts w:asciiTheme="majorHAnsi" w:hAnsiTheme="majorHAnsi" w:cstheme="majorHAnsi"/>
        </w:rPr>
      </w:pPr>
    </w:p>
    <w:p w14:paraId="31F5DC63" w14:textId="77777777" w:rsidR="00BE7233" w:rsidRDefault="00BE7233" w:rsidP="00BE7233">
      <w:pPr>
        <w:rPr>
          <w:rFonts w:asciiTheme="majorHAnsi" w:hAnsiTheme="majorHAnsi" w:cstheme="majorHAnsi"/>
        </w:rPr>
      </w:pPr>
      <w:r w:rsidRPr="00BE7233">
        <w:rPr>
          <w:rFonts w:asciiTheme="majorHAnsi" w:hAnsiTheme="majorHAnsi" w:cstheme="majorHAnsi"/>
        </w:rPr>
        <w:t xml:space="preserve">The table presented contains a complete compliance evaluation of </w:t>
      </w:r>
      <w:r w:rsidRPr="00BE7233">
        <w:rPr>
          <w:rFonts w:asciiTheme="majorHAnsi" w:hAnsiTheme="majorHAnsi" w:cstheme="majorHAnsi"/>
          <w:b/>
          <w:bCs/>
        </w:rPr>
        <w:t>SOP-0023: Quality Agreements (QAGs) Lifecycle Management</w:t>
      </w:r>
      <w:r w:rsidRPr="00BE7233">
        <w:rPr>
          <w:rFonts w:asciiTheme="majorHAnsi" w:hAnsiTheme="majorHAnsi" w:cstheme="majorHAnsi"/>
        </w:rPr>
        <w:t xml:space="preserve"> against:</w:t>
      </w:r>
    </w:p>
    <w:p w14:paraId="6F52CCE8" w14:textId="77777777" w:rsidR="00111A2C" w:rsidRPr="00BE7233" w:rsidRDefault="00111A2C" w:rsidP="00BE7233">
      <w:pPr>
        <w:rPr>
          <w:rFonts w:asciiTheme="majorHAnsi" w:hAnsiTheme="majorHAnsi" w:cstheme="majorHAnsi"/>
        </w:rPr>
      </w:pPr>
    </w:p>
    <w:p w14:paraId="4014845A" w14:textId="77777777" w:rsidR="00BE7233" w:rsidRPr="00111A2C" w:rsidRDefault="00BE7233" w:rsidP="00BE7233">
      <w:pPr>
        <w:numPr>
          <w:ilvl w:val="0"/>
          <w:numId w:val="14"/>
        </w:numPr>
        <w:rPr>
          <w:rFonts w:asciiTheme="majorHAnsi" w:hAnsiTheme="majorHAnsi" w:cstheme="majorHAnsi"/>
        </w:rPr>
      </w:pPr>
      <w:r w:rsidRPr="00111A2C">
        <w:rPr>
          <w:rFonts w:asciiTheme="majorHAnsi" w:hAnsiTheme="majorHAnsi" w:cstheme="majorHAnsi"/>
        </w:rPr>
        <w:t>21 CFR Part 820 (Quality System Regulation)</w:t>
      </w:r>
    </w:p>
    <w:p w14:paraId="6E2647FC" w14:textId="77777777" w:rsidR="00BE7233" w:rsidRPr="00111A2C" w:rsidRDefault="00BE7233" w:rsidP="00BE7233">
      <w:pPr>
        <w:numPr>
          <w:ilvl w:val="0"/>
          <w:numId w:val="14"/>
        </w:numPr>
        <w:rPr>
          <w:rFonts w:asciiTheme="majorHAnsi" w:hAnsiTheme="majorHAnsi" w:cstheme="majorHAnsi"/>
        </w:rPr>
      </w:pPr>
      <w:r w:rsidRPr="00111A2C">
        <w:rPr>
          <w:rFonts w:asciiTheme="majorHAnsi" w:hAnsiTheme="majorHAnsi" w:cstheme="majorHAnsi"/>
        </w:rPr>
        <w:t>ISO 13485:2016, with emphasis on §4.1, §7.1, §8.2, and §8.5</w:t>
      </w:r>
    </w:p>
    <w:p w14:paraId="4DA47FD7" w14:textId="77777777" w:rsidR="00BE7233" w:rsidRPr="00111A2C" w:rsidRDefault="00BE7233" w:rsidP="00BE7233">
      <w:pPr>
        <w:numPr>
          <w:ilvl w:val="0"/>
          <w:numId w:val="14"/>
        </w:numPr>
        <w:rPr>
          <w:rFonts w:asciiTheme="majorHAnsi" w:hAnsiTheme="majorHAnsi" w:cstheme="majorHAnsi"/>
        </w:rPr>
      </w:pPr>
      <w:r w:rsidRPr="00111A2C">
        <w:rPr>
          <w:rFonts w:asciiTheme="majorHAnsi" w:hAnsiTheme="majorHAnsi" w:cstheme="majorHAnsi"/>
        </w:rPr>
        <w:t>ISO 14971:2019 on risk-based supplier and quality oversight</w:t>
      </w:r>
    </w:p>
    <w:p w14:paraId="3AC92729" w14:textId="77777777" w:rsidR="00BE7233" w:rsidRPr="00111A2C" w:rsidRDefault="00BE7233" w:rsidP="00BE7233">
      <w:pPr>
        <w:numPr>
          <w:ilvl w:val="0"/>
          <w:numId w:val="14"/>
        </w:numPr>
        <w:rPr>
          <w:rFonts w:asciiTheme="majorHAnsi" w:hAnsiTheme="majorHAnsi" w:cstheme="majorHAnsi"/>
        </w:rPr>
      </w:pPr>
      <w:r w:rsidRPr="00111A2C">
        <w:rPr>
          <w:rFonts w:asciiTheme="majorHAnsi" w:hAnsiTheme="majorHAnsi" w:cstheme="majorHAnsi"/>
        </w:rPr>
        <w:t>21 CFR Part 4, covering combination product CGMP responsibilities</w:t>
      </w:r>
    </w:p>
    <w:p w14:paraId="1E17D186" w14:textId="77777777" w:rsidR="0051619B" w:rsidRPr="00F145DA" w:rsidRDefault="0051619B" w:rsidP="0051619B">
      <w:pPr>
        <w:rPr>
          <w:rFonts w:asciiTheme="majorHAnsi" w:hAnsiTheme="majorHAnsi" w:cstheme="majorHAnsi"/>
          <w:b/>
          <w:bCs/>
        </w:rPr>
      </w:pPr>
    </w:p>
    <w:p w14:paraId="782A3705" w14:textId="77777777" w:rsidR="0051619B" w:rsidRPr="00F145DA" w:rsidRDefault="0051619B" w:rsidP="0051619B">
      <w:pPr>
        <w:rPr>
          <w:rFonts w:asciiTheme="majorHAnsi" w:hAnsiTheme="majorHAnsi" w:cstheme="majorHAnsi"/>
          <w:b/>
          <w:bCs/>
        </w:rPr>
      </w:pPr>
    </w:p>
    <w:tbl>
      <w:tblPr>
        <w:tblStyle w:val="GridTable2-Accent3"/>
        <w:tblW w:w="13760" w:type="dxa"/>
        <w:tblLook w:val="04A0" w:firstRow="1" w:lastRow="0" w:firstColumn="1" w:lastColumn="0" w:noHBand="0" w:noVBand="1"/>
      </w:tblPr>
      <w:tblGrid>
        <w:gridCol w:w="2250"/>
        <w:gridCol w:w="1245"/>
        <w:gridCol w:w="3627"/>
        <w:gridCol w:w="3510"/>
        <w:gridCol w:w="3128"/>
      </w:tblGrid>
      <w:tr w:rsidR="002056FA" w:rsidRPr="0051619B" w14:paraId="584D7130" w14:textId="77777777" w:rsidTr="3D09FF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noWrap/>
            <w:hideMark/>
          </w:tcPr>
          <w:p w14:paraId="69A7DCB2" w14:textId="77777777" w:rsidR="0051619B" w:rsidRPr="0051619B" w:rsidRDefault="0051619B" w:rsidP="0051619B">
            <w:pPr>
              <w:rPr>
                <w:rFonts w:asciiTheme="majorHAnsi" w:eastAsia="Times New Roman" w:hAnsiTheme="majorHAnsi" w:cstheme="majorHAnsi"/>
                <w:color w:val="000000"/>
              </w:rPr>
            </w:pPr>
            <w:r w:rsidRPr="0051619B">
              <w:rPr>
                <w:rFonts w:asciiTheme="majorHAnsi" w:eastAsia="Times New Roman" w:hAnsiTheme="majorHAnsi" w:cstheme="majorHAnsi"/>
                <w:color w:val="000000"/>
              </w:rPr>
              <w:t>Issue Description</w:t>
            </w:r>
          </w:p>
        </w:tc>
        <w:tc>
          <w:tcPr>
            <w:tcW w:w="1245" w:type="dxa"/>
            <w:noWrap/>
            <w:hideMark/>
          </w:tcPr>
          <w:p w14:paraId="67CA8947" w14:textId="77777777" w:rsidR="0051619B" w:rsidRPr="0051619B" w:rsidRDefault="0051619B" w:rsidP="0051619B">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51619B">
              <w:rPr>
                <w:rFonts w:asciiTheme="majorHAnsi" w:eastAsia="Times New Roman" w:hAnsiTheme="majorHAnsi" w:cstheme="majorHAnsi"/>
                <w:color w:val="000000"/>
              </w:rPr>
              <w:t>Severity Level</w:t>
            </w:r>
          </w:p>
        </w:tc>
        <w:tc>
          <w:tcPr>
            <w:tcW w:w="3627" w:type="dxa"/>
            <w:noWrap/>
            <w:hideMark/>
          </w:tcPr>
          <w:p w14:paraId="60016938" w14:textId="77777777" w:rsidR="0051619B" w:rsidRPr="0051619B" w:rsidRDefault="0051619B" w:rsidP="0051619B">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51619B">
              <w:rPr>
                <w:rFonts w:asciiTheme="majorHAnsi" w:eastAsia="Times New Roman" w:hAnsiTheme="majorHAnsi" w:cstheme="majorHAnsi"/>
                <w:color w:val="000000"/>
              </w:rPr>
              <w:t>Original Excerpt</w:t>
            </w:r>
          </w:p>
        </w:tc>
        <w:tc>
          <w:tcPr>
            <w:tcW w:w="3510" w:type="dxa"/>
            <w:noWrap/>
            <w:hideMark/>
          </w:tcPr>
          <w:p w14:paraId="312E6FEC" w14:textId="77777777" w:rsidR="0051619B" w:rsidRPr="0051619B" w:rsidRDefault="0051619B" w:rsidP="0051619B">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51619B">
              <w:rPr>
                <w:rFonts w:asciiTheme="majorHAnsi" w:eastAsia="Times New Roman" w:hAnsiTheme="majorHAnsi" w:cstheme="majorHAnsi"/>
                <w:color w:val="000000"/>
              </w:rPr>
              <w:t>Recommended Revision</w:t>
            </w:r>
          </w:p>
        </w:tc>
        <w:tc>
          <w:tcPr>
            <w:tcW w:w="3128" w:type="dxa"/>
            <w:noWrap/>
            <w:hideMark/>
          </w:tcPr>
          <w:p w14:paraId="5D887DC2" w14:textId="77777777" w:rsidR="0051619B" w:rsidRPr="0051619B" w:rsidRDefault="0051619B" w:rsidP="0051619B">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51619B">
              <w:rPr>
                <w:rFonts w:asciiTheme="majorHAnsi" w:eastAsia="Times New Roman" w:hAnsiTheme="majorHAnsi" w:cstheme="majorHAnsi"/>
                <w:color w:val="000000"/>
              </w:rPr>
              <w:t>Applicable Standard or Regulation</w:t>
            </w:r>
          </w:p>
        </w:tc>
      </w:tr>
      <w:tr w:rsidR="002056FA" w:rsidRPr="0051619B" w14:paraId="59EE669D" w14:textId="77777777" w:rsidTr="3D09FF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noWrap/>
            <w:hideMark/>
          </w:tcPr>
          <w:p w14:paraId="2DFC25FD" w14:textId="77777777" w:rsidR="0051619B" w:rsidRPr="0051619B" w:rsidRDefault="0051619B" w:rsidP="0051619B">
            <w:pPr>
              <w:rPr>
                <w:rFonts w:asciiTheme="majorHAnsi" w:eastAsia="Times New Roman" w:hAnsiTheme="majorHAnsi" w:cstheme="majorHAnsi"/>
                <w:color w:val="000000"/>
              </w:rPr>
            </w:pPr>
            <w:r w:rsidRPr="0051619B">
              <w:rPr>
                <w:rFonts w:asciiTheme="majorHAnsi" w:eastAsia="Times New Roman" w:hAnsiTheme="majorHAnsi" w:cstheme="majorHAnsi"/>
                <w:color w:val="000000"/>
              </w:rPr>
              <w:t>Lack of required delineation of CGMP responsibilities for combination products under 21 CFR Part 4.</w:t>
            </w:r>
          </w:p>
        </w:tc>
        <w:tc>
          <w:tcPr>
            <w:tcW w:w="1245" w:type="dxa"/>
            <w:noWrap/>
            <w:hideMark/>
          </w:tcPr>
          <w:p w14:paraId="3D4A35CC" w14:textId="77777777" w:rsidR="0051619B" w:rsidRPr="0051619B" w:rsidRDefault="0051619B" w:rsidP="0051619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rPr>
            </w:pPr>
            <w:r w:rsidRPr="0051619B">
              <w:rPr>
                <w:rFonts w:asciiTheme="majorHAnsi" w:eastAsia="Times New Roman" w:hAnsiTheme="majorHAnsi" w:cstheme="majorHAnsi"/>
                <w:b/>
                <w:bCs/>
                <w:color w:val="000000"/>
              </w:rPr>
              <w:t>Critical</w:t>
            </w:r>
          </w:p>
        </w:tc>
        <w:tc>
          <w:tcPr>
            <w:tcW w:w="3627" w:type="dxa"/>
            <w:noWrap/>
            <w:hideMark/>
          </w:tcPr>
          <w:p w14:paraId="62FEB99C" w14:textId="77777777" w:rsidR="0051619B" w:rsidRPr="0051619B" w:rsidRDefault="0051619B" w:rsidP="0051619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51619B">
              <w:rPr>
                <w:rFonts w:asciiTheme="majorHAnsi" w:eastAsia="Times New Roman" w:hAnsiTheme="majorHAnsi" w:cstheme="majorHAnsi"/>
                <w:color w:val="000000"/>
              </w:rPr>
              <w:t xml:space="preserve">The SOP refers generally to </w:t>
            </w:r>
            <w:proofErr w:type="spellStart"/>
            <w:r w:rsidRPr="0051619B">
              <w:rPr>
                <w:rFonts w:asciiTheme="majorHAnsi" w:eastAsia="Times New Roman" w:hAnsiTheme="majorHAnsi" w:cstheme="majorHAnsi"/>
                <w:color w:val="000000"/>
              </w:rPr>
              <w:t>GxP</w:t>
            </w:r>
            <w:proofErr w:type="spellEnd"/>
            <w:r w:rsidRPr="0051619B">
              <w:rPr>
                <w:rFonts w:asciiTheme="majorHAnsi" w:eastAsia="Times New Roman" w:hAnsiTheme="majorHAnsi" w:cstheme="majorHAnsi"/>
                <w:color w:val="000000"/>
              </w:rPr>
              <w:t xml:space="preserve"> services and suppliers but does not specify how CGMP responsibilities are split between drug and device constituent parts in QAGs.</w:t>
            </w:r>
          </w:p>
        </w:tc>
        <w:tc>
          <w:tcPr>
            <w:tcW w:w="3510" w:type="dxa"/>
            <w:noWrap/>
            <w:hideMark/>
          </w:tcPr>
          <w:p w14:paraId="61238217" w14:textId="77777777" w:rsidR="0051619B" w:rsidRPr="0051619B" w:rsidRDefault="0051619B" w:rsidP="0051619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51619B">
              <w:rPr>
                <w:rFonts w:asciiTheme="majorHAnsi" w:eastAsia="Times New Roman" w:hAnsiTheme="majorHAnsi" w:cstheme="majorHAnsi"/>
                <w:color w:val="000000"/>
              </w:rPr>
              <w:t>Require QAGs for combination products to clearly define which party is responsible for compliance with 21 CFR Part 820 (device CGMP) and Parts 210/211 (drug CGMP), per 21 CFR Part 4.</w:t>
            </w:r>
          </w:p>
        </w:tc>
        <w:tc>
          <w:tcPr>
            <w:tcW w:w="3128" w:type="dxa"/>
            <w:noWrap/>
            <w:hideMark/>
          </w:tcPr>
          <w:p w14:paraId="3FDBD4F3" w14:textId="77777777" w:rsidR="00176512" w:rsidRPr="00F145DA" w:rsidRDefault="0051619B" w:rsidP="0051619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51619B">
              <w:rPr>
                <w:rFonts w:asciiTheme="majorHAnsi" w:eastAsia="Times New Roman" w:hAnsiTheme="majorHAnsi" w:cstheme="majorHAnsi"/>
                <w:color w:val="000000"/>
              </w:rPr>
              <w:t>21 CFR Part 4.4(b)(1); FDA Guidance on CGMP for Combination Products</w:t>
            </w:r>
          </w:p>
          <w:p w14:paraId="67AF25FB" w14:textId="4CC515A2" w:rsidR="0051619B" w:rsidRPr="00F145DA" w:rsidRDefault="0051619B" w:rsidP="0051619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51619B">
              <w:rPr>
                <w:rFonts w:asciiTheme="majorHAnsi" w:eastAsia="Times New Roman" w:hAnsiTheme="majorHAnsi" w:cstheme="majorHAnsi"/>
                <w:color w:val="000000"/>
              </w:rPr>
              <w:t>SOP-0023 Quality Agreements (QAGs) Lifecycle Management</w:t>
            </w:r>
          </w:p>
          <w:p w14:paraId="2A42A631" w14:textId="4A348FD6" w:rsidR="00176512" w:rsidRPr="0051619B" w:rsidRDefault="00176512" w:rsidP="0051619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51619B" w:rsidRPr="0051619B" w14:paraId="26F422AC" w14:textId="77777777" w:rsidTr="3D09FF86">
        <w:trPr>
          <w:trHeight w:val="300"/>
        </w:trPr>
        <w:tc>
          <w:tcPr>
            <w:cnfStyle w:val="001000000000" w:firstRow="0" w:lastRow="0" w:firstColumn="1" w:lastColumn="0" w:oddVBand="0" w:evenVBand="0" w:oddHBand="0" w:evenHBand="0" w:firstRowFirstColumn="0" w:firstRowLastColumn="0" w:lastRowFirstColumn="0" w:lastRowLastColumn="0"/>
            <w:tcW w:w="2250" w:type="dxa"/>
            <w:noWrap/>
            <w:hideMark/>
          </w:tcPr>
          <w:p w14:paraId="29E37372" w14:textId="77777777" w:rsidR="0051619B" w:rsidRPr="0051619B" w:rsidRDefault="0051619B" w:rsidP="0051619B">
            <w:pPr>
              <w:rPr>
                <w:rFonts w:asciiTheme="majorHAnsi" w:eastAsia="Times New Roman" w:hAnsiTheme="majorHAnsi" w:cstheme="majorHAnsi"/>
                <w:color w:val="000000"/>
              </w:rPr>
            </w:pPr>
            <w:r w:rsidRPr="0051619B">
              <w:rPr>
                <w:rFonts w:asciiTheme="majorHAnsi" w:eastAsia="Times New Roman" w:hAnsiTheme="majorHAnsi" w:cstheme="majorHAnsi"/>
                <w:color w:val="000000"/>
              </w:rPr>
              <w:t>No requirement to document quality event escalation and notification timelines in QAGs.</w:t>
            </w:r>
          </w:p>
        </w:tc>
        <w:tc>
          <w:tcPr>
            <w:tcW w:w="1245" w:type="dxa"/>
            <w:noWrap/>
            <w:hideMark/>
          </w:tcPr>
          <w:p w14:paraId="15D0B129" w14:textId="77777777" w:rsidR="0051619B" w:rsidRPr="0051619B" w:rsidRDefault="0051619B" w:rsidP="0051619B">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rPr>
            </w:pPr>
            <w:r w:rsidRPr="0051619B">
              <w:rPr>
                <w:rFonts w:asciiTheme="majorHAnsi" w:eastAsia="Times New Roman" w:hAnsiTheme="majorHAnsi" w:cstheme="majorHAnsi"/>
                <w:b/>
                <w:bCs/>
                <w:color w:val="000000"/>
              </w:rPr>
              <w:t>Moderate</w:t>
            </w:r>
          </w:p>
        </w:tc>
        <w:tc>
          <w:tcPr>
            <w:tcW w:w="3627" w:type="dxa"/>
            <w:noWrap/>
            <w:hideMark/>
          </w:tcPr>
          <w:p w14:paraId="02293615" w14:textId="77777777" w:rsidR="0051619B" w:rsidRPr="0051619B" w:rsidRDefault="0051619B" w:rsidP="0051619B">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51619B">
              <w:rPr>
                <w:rFonts w:asciiTheme="majorHAnsi" w:eastAsia="Times New Roman" w:hAnsiTheme="majorHAnsi" w:cstheme="majorHAnsi"/>
                <w:color w:val="000000"/>
              </w:rPr>
              <w:t xml:space="preserve">QAGs are said to align with regulatory expectations, but the SOP does not require inclusion of communication pathways for </w:t>
            </w:r>
            <w:r w:rsidRPr="0051619B">
              <w:rPr>
                <w:rFonts w:asciiTheme="majorHAnsi" w:eastAsia="Times New Roman" w:hAnsiTheme="majorHAnsi" w:cstheme="majorHAnsi"/>
                <w:color w:val="000000"/>
              </w:rPr>
              <w:lastRenderedPageBreak/>
              <w:t>complaints, recalls, or serious adverse events.</w:t>
            </w:r>
          </w:p>
        </w:tc>
        <w:tc>
          <w:tcPr>
            <w:tcW w:w="3510" w:type="dxa"/>
            <w:noWrap/>
            <w:hideMark/>
          </w:tcPr>
          <w:p w14:paraId="020C8259" w14:textId="77777777" w:rsidR="0051619B" w:rsidRPr="0051619B" w:rsidRDefault="0051619B" w:rsidP="0051619B">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51619B">
              <w:rPr>
                <w:rFonts w:asciiTheme="majorHAnsi" w:eastAsia="Times New Roman" w:hAnsiTheme="majorHAnsi" w:cstheme="majorHAnsi"/>
                <w:color w:val="000000"/>
              </w:rPr>
              <w:lastRenderedPageBreak/>
              <w:t xml:space="preserve">Mandate inclusion in all QAGs of notification timelines and escalation requirements for significant quality events, in </w:t>
            </w:r>
            <w:r w:rsidRPr="0051619B">
              <w:rPr>
                <w:rFonts w:asciiTheme="majorHAnsi" w:eastAsia="Times New Roman" w:hAnsiTheme="majorHAnsi" w:cstheme="majorHAnsi"/>
                <w:color w:val="000000"/>
              </w:rPr>
              <w:lastRenderedPageBreak/>
              <w:t>alignment with ISO 13485 and FDA expectations.</w:t>
            </w:r>
          </w:p>
        </w:tc>
        <w:tc>
          <w:tcPr>
            <w:tcW w:w="3128" w:type="dxa"/>
            <w:noWrap/>
            <w:hideMark/>
          </w:tcPr>
          <w:p w14:paraId="7BC99CC6" w14:textId="77777777" w:rsidR="00176512" w:rsidRPr="00F145DA" w:rsidRDefault="0051619B" w:rsidP="0051619B">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51619B">
              <w:rPr>
                <w:rFonts w:asciiTheme="majorHAnsi" w:eastAsia="Times New Roman" w:hAnsiTheme="majorHAnsi" w:cstheme="majorHAnsi"/>
                <w:color w:val="000000"/>
              </w:rPr>
              <w:lastRenderedPageBreak/>
              <w:t>ISO 13485:2016 §8.2.1, §8.3; 21 CFR 820.198</w:t>
            </w:r>
            <w:r w:rsidR="00176512" w:rsidRPr="00F145DA">
              <w:rPr>
                <w:rFonts w:asciiTheme="majorHAnsi" w:eastAsia="Times New Roman" w:hAnsiTheme="majorHAnsi" w:cstheme="majorHAnsi"/>
                <w:color w:val="000000"/>
              </w:rPr>
              <w:t xml:space="preserve"> </w:t>
            </w:r>
          </w:p>
          <w:p w14:paraId="34F14516" w14:textId="0549D052" w:rsidR="0051619B" w:rsidRPr="0051619B" w:rsidRDefault="0051619B" w:rsidP="0051619B">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51619B">
              <w:rPr>
                <w:rFonts w:asciiTheme="majorHAnsi" w:eastAsia="Times New Roman" w:hAnsiTheme="majorHAnsi" w:cstheme="majorHAnsi"/>
                <w:color w:val="000000"/>
              </w:rPr>
              <w:t>SOP-0023 Quality Agreements (QAGs) Lifecycle Management</w:t>
            </w:r>
          </w:p>
        </w:tc>
      </w:tr>
      <w:tr w:rsidR="002056FA" w:rsidRPr="0051619B" w14:paraId="2B68B15A" w14:textId="77777777" w:rsidTr="3D09FF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noWrap/>
            <w:hideMark/>
          </w:tcPr>
          <w:p w14:paraId="7EE2EFD4" w14:textId="77777777" w:rsidR="0051619B" w:rsidRPr="0051619B" w:rsidRDefault="0051619B" w:rsidP="0051619B">
            <w:pPr>
              <w:rPr>
                <w:rFonts w:asciiTheme="majorHAnsi" w:eastAsia="Times New Roman" w:hAnsiTheme="majorHAnsi" w:cstheme="majorHAnsi"/>
                <w:color w:val="000000"/>
              </w:rPr>
            </w:pPr>
            <w:r w:rsidRPr="0051619B">
              <w:rPr>
                <w:rFonts w:asciiTheme="majorHAnsi" w:eastAsia="Times New Roman" w:hAnsiTheme="majorHAnsi" w:cstheme="majorHAnsi"/>
                <w:color w:val="000000"/>
              </w:rPr>
              <w:t xml:space="preserve">No integration with </w:t>
            </w:r>
            <w:proofErr w:type="spellStart"/>
            <w:r w:rsidRPr="0051619B">
              <w:rPr>
                <w:rFonts w:asciiTheme="majorHAnsi" w:eastAsia="Times New Roman" w:hAnsiTheme="majorHAnsi" w:cstheme="majorHAnsi"/>
                <w:color w:val="000000"/>
              </w:rPr>
              <w:t>postmarket</w:t>
            </w:r>
            <w:proofErr w:type="spellEnd"/>
            <w:r w:rsidRPr="0051619B">
              <w:rPr>
                <w:rFonts w:asciiTheme="majorHAnsi" w:eastAsia="Times New Roman" w:hAnsiTheme="majorHAnsi" w:cstheme="majorHAnsi"/>
                <w:color w:val="000000"/>
              </w:rPr>
              <w:t xml:space="preserve"> surveillance or field actions where contract partners are involved.</w:t>
            </w:r>
          </w:p>
        </w:tc>
        <w:tc>
          <w:tcPr>
            <w:tcW w:w="1245" w:type="dxa"/>
            <w:noWrap/>
            <w:hideMark/>
          </w:tcPr>
          <w:p w14:paraId="6317A5EE" w14:textId="77777777" w:rsidR="0051619B" w:rsidRPr="0051619B" w:rsidRDefault="0051619B" w:rsidP="0051619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rPr>
            </w:pPr>
            <w:r w:rsidRPr="0051619B">
              <w:rPr>
                <w:rFonts w:asciiTheme="majorHAnsi" w:eastAsia="Times New Roman" w:hAnsiTheme="majorHAnsi" w:cstheme="majorHAnsi"/>
                <w:b/>
                <w:bCs/>
                <w:color w:val="000000"/>
              </w:rPr>
              <w:t>Moderate</w:t>
            </w:r>
          </w:p>
        </w:tc>
        <w:tc>
          <w:tcPr>
            <w:tcW w:w="3627" w:type="dxa"/>
            <w:noWrap/>
            <w:hideMark/>
          </w:tcPr>
          <w:p w14:paraId="1D457680" w14:textId="77777777" w:rsidR="0051619B" w:rsidRPr="0051619B" w:rsidRDefault="0051619B" w:rsidP="0051619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51619B">
              <w:rPr>
                <w:rFonts w:asciiTheme="majorHAnsi" w:eastAsia="Times New Roman" w:hAnsiTheme="majorHAnsi" w:cstheme="majorHAnsi"/>
                <w:color w:val="000000"/>
              </w:rPr>
              <w:t xml:space="preserve">The SOP is silent on responsibilities related to </w:t>
            </w:r>
            <w:proofErr w:type="spellStart"/>
            <w:r w:rsidRPr="0051619B">
              <w:rPr>
                <w:rFonts w:asciiTheme="majorHAnsi" w:eastAsia="Times New Roman" w:hAnsiTheme="majorHAnsi" w:cstheme="majorHAnsi"/>
                <w:color w:val="000000"/>
              </w:rPr>
              <w:t>postmarket</w:t>
            </w:r>
            <w:proofErr w:type="spellEnd"/>
            <w:r w:rsidRPr="0051619B">
              <w:rPr>
                <w:rFonts w:asciiTheme="majorHAnsi" w:eastAsia="Times New Roman" w:hAnsiTheme="majorHAnsi" w:cstheme="majorHAnsi"/>
                <w:color w:val="000000"/>
              </w:rPr>
              <w:t xml:space="preserve"> obligations such as field safety corrective actions (FSCA), MDRs, or recall coordination.</w:t>
            </w:r>
          </w:p>
        </w:tc>
        <w:tc>
          <w:tcPr>
            <w:tcW w:w="3510" w:type="dxa"/>
            <w:noWrap/>
            <w:hideMark/>
          </w:tcPr>
          <w:p w14:paraId="0CDFDA94" w14:textId="77777777" w:rsidR="0051619B" w:rsidRPr="0051619B" w:rsidRDefault="0051619B" w:rsidP="0051619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51619B">
              <w:rPr>
                <w:rFonts w:asciiTheme="majorHAnsi" w:eastAsia="Times New Roman" w:hAnsiTheme="majorHAnsi" w:cstheme="majorHAnsi"/>
                <w:color w:val="000000"/>
              </w:rPr>
              <w:t xml:space="preserve">Add requirement that QAGs specify roles in </w:t>
            </w:r>
            <w:proofErr w:type="spellStart"/>
            <w:r w:rsidRPr="0051619B">
              <w:rPr>
                <w:rFonts w:asciiTheme="majorHAnsi" w:eastAsia="Times New Roman" w:hAnsiTheme="majorHAnsi" w:cstheme="majorHAnsi"/>
                <w:color w:val="000000"/>
              </w:rPr>
              <w:t>postmarket</w:t>
            </w:r>
            <w:proofErr w:type="spellEnd"/>
            <w:r w:rsidRPr="0051619B">
              <w:rPr>
                <w:rFonts w:asciiTheme="majorHAnsi" w:eastAsia="Times New Roman" w:hAnsiTheme="majorHAnsi" w:cstheme="majorHAnsi"/>
                <w:color w:val="000000"/>
              </w:rPr>
              <w:t xml:space="preserve"> surveillance, complaint handling, and field actions, especially for distributed combination products.</w:t>
            </w:r>
          </w:p>
        </w:tc>
        <w:tc>
          <w:tcPr>
            <w:tcW w:w="3128" w:type="dxa"/>
            <w:noWrap/>
            <w:hideMark/>
          </w:tcPr>
          <w:p w14:paraId="02D11D96" w14:textId="63496C48" w:rsidR="0051619B" w:rsidRPr="0051619B" w:rsidRDefault="0051619B" w:rsidP="0051619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51619B">
              <w:rPr>
                <w:rFonts w:asciiTheme="majorHAnsi" w:eastAsia="Times New Roman" w:hAnsiTheme="majorHAnsi" w:cstheme="majorHAnsi"/>
                <w:color w:val="000000"/>
              </w:rPr>
              <w:t>21 CFR 820.198; ISO 13485:2016 §8.2.1, §8.5.1</w:t>
            </w:r>
            <w:r w:rsidR="00C37EDF" w:rsidRPr="00F145DA">
              <w:rPr>
                <w:rFonts w:asciiTheme="majorHAnsi" w:eastAsia="Times New Roman" w:hAnsiTheme="majorHAnsi" w:cstheme="majorHAnsi"/>
                <w:color w:val="000000"/>
              </w:rPr>
              <w:t xml:space="preserve"> </w:t>
            </w:r>
            <w:r w:rsidRPr="0051619B">
              <w:rPr>
                <w:rFonts w:asciiTheme="majorHAnsi" w:eastAsia="Times New Roman" w:hAnsiTheme="majorHAnsi" w:cstheme="majorHAnsi"/>
                <w:color w:val="000000"/>
              </w:rPr>
              <w:t>SOP-0023 Quality Agreements (QAGs) Lifecycle Management</w:t>
            </w:r>
          </w:p>
        </w:tc>
      </w:tr>
      <w:tr w:rsidR="0051619B" w:rsidRPr="0051619B" w14:paraId="105F4109" w14:textId="77777777" w:rsidTr="3D09FF86">
        <w:trPr>
          <w:trHeight w:val="300"/>
        </w:trPr>
        <w:tc>
          <w:tcPr>
            <w:cnfStyle w:val="001000000000" w:firstRow="0" w:lastRow="0" w:firstColumn="1" w:lastColumn="0" w:oddVBand="0" w:evenVBand="0" w:oddHBand="0" w:evenHBand="0" w:firstRowFirstColumn="0" w:firstRowLastColumn="0" w:lastRowFirstColumn="0" w:lastRowLastColumn="0"/>
            <w:tcW w:w="2250" w:type="dxa"/>
            <w:noWrap/>
            <w:hideMark/>
          </w:tcPr>
          <w:p w14:paraId="6A688377" w14:textId="77777777" w:rsidR="0051619B" w:rsidRPr="0051619B" w:rsidRDefault="0051619B" w:rsidP="0051619B">
            <w:pPr>
              <w:rPr>
                <w:rFonts w:asciiTheme="majorHAnsi" w:eastAsia="Times New Roman" w:hAnsiTheme="majorHAnsi" w:cstheme="majorHAnsi"/>
                <w:color w:val="000000"/>
              </w:rPr>
            </w:pPr>
            <w:r w:rsidRPr="0051619B">
              <w:rPr>
                <w:rFonts w:asciiTheme="majorHAnsi" w:eastAsia="Times New Roman" w:hAnsiTheme="majorHAnsi" w:cstheme="majorHAnsi"/>
                <w:color w:val="000000"/>
              </w:rPr>
              <w:t>Risk management requirements are not clearly incorporated into QAG language.</w:t>
            </w:r>
          </w:p>
        </w:tc>
        <w:tc>
          <w:tcPr>
            <w:tcW w:w="1245" w:type="dxa"/>
            <w:noWrap/>
            <w:hideMark/>
          </w:tcPr>
          <w:p w14:paraId="46885ECC" w14:textId="77777777" w:rsidR="0051619B" w:rsidRPr="0051619B" w:rsidRDefault="0051619B" w:rsidP="0051619B">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rPr>
            </w:pPr>
            <w:r w:rsidRPr="0051619B">
              <w:rPr>
                <w:rFonts w:asciiTheme="majorHAnsi" w:eastAsia="Times New Roman" w:hAnsiTheme="majorHAnsi" w:cstheme="majorHAnsi"/>
                <w:b/>
                <w:bCs/>
                <w:color w:val="000000"/>
              </w:rPr>
              <w:t>Minor</w:t>
            </w:r>
          </w:p>
        </w:tc>
        <w:tc>
          <w:tcPr>
            <w:tcW w:w="3627" w:type="dxa"/>
            <w:noWrap/>
            <w:hideMark/>
          </w:tcPr>
          <w:p w14:paraId="78A98788" w14:textId="77777777" w:rsidR="0051619B" w:rsidRPr="0051619B" w:rsidRDefault="0051619B" w:rsidP="0051619B">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51619B">
              <w:rPr>
                <w:rFonts w:asciiTheme="majorHAnsi" w:eastAsia="Times New Roman" w:hAnsiTheme="majorHAnsi" w:cstheme="majorHAnsi"/>
                <w:color w:val="000000"/>
              </w:rPr>
              <w:t>The SOP references SOP-0035 for risk but does not define how risk controls, risk communication, or mitigation responsibilities are assigned through the QAG.</w:t>
            </w:r>
          </w:p>
        </w:tc>
        <w:tc>
          <w:tcPr>
            <w:tcW w:w="3510" w:type="dxa"/>
            <w:noWrap/>
            <w:hideMark/>
          </w:tcPr>
          <w:p w14:paraId="1AC15AEE" w14:textId="77777777" w:rsidR="0051619B" w:rsidRPr="0051619B" w:rsidRDefault="0051619B" w:rsidP="0051619B">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51619B">
              <w:rPr>
                <w:rFonts w:asciiTheme="majorHAnsi" w:eastAsia="Times New Roman" w:hAnsiTheme="majorHAnsi" w:cstheme="majorHAnsi"/>
                <w:color w:val="000000"/>
              </w:rPr>
              <w:t>Include template guidance or checklist requiring QAGs to define how risk analysis results are communicated and managed across parties, referencing ISO 14971.</w:t>
            </w:r>
          </w:p>
        </w:tc>
        <w:tc>
          <w:tcPr>
            <w:tcW w:w="3128" w:type="dxa"/>
            <w:noWrap/>
            <w:hideMark/>
          </w:tcPr>
          <w:p w14:paraId="387DF921" w14:textId="77777777" w:rsidR="00380028" w:rsidRPr="00F145DA" w:rsidRDefault="0051619B" w:rsidP="0051619B">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51619B">
              <w:rPr>
                <w:rFonts w:asciiTheme="majorHAnsi" w:eastAsia="Times New Roman" w:hAnsiTheme="majorHAnsi" w:cstheme="majorHAnsi"/>
                <w:color w:val="000000"/>
              </w:rPr>
              <w:t>ISO 14971:2019 §6.3, §8; ISO 13485:2016 §7.1</w:t>
            </w:r>
          </w:p>
          <w:p w14:paraId="06CA0CF2" w14:textId="7098FF10" w:rsidR="0051619B" w:rsidRPr="0051619B" w:rsidRDefault="0051619B" w:rsidP="0051619B">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51619B">
              <w:rPr>
                <w:rFonts w:asciiTheme="majorHAnsi" w:eastAsia="Times New Roman" w:hAnsiTheme="majorHAnsi" w:cstheme="majorHAnsi"/>
                <w:color w:val="000000"/>
              </w:rPr>
              <w:t>SOP-0023 Quality Agreements (QAGs) Lifecycle Management</w:t>
            </w:r>
          </w:p>
        </w:tc>
      </w:tr>
      <w:tr w:rsidR="002056FA" w:rsidRPr="0051619B" w14:paraId="70FB873E" w14:textId="77777777" w:rsidTr="3D09FF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noWrap/>
            <w:hideMark/>
          </w:tcPr>
          <w:p w14:paraId="314EB4B0" w14:textId="77777777" w:rsidR="0051619B" w:rsidRPr="0051619B" w:rsidRDefault="0051619B" w:rsidP="0051619B">
            <w:pPr>
              <w:rPr>
                <w:rFonts w:asciiTheme="majorHAnsi" w:eastAsia="Times New Roman" w:hAnsiTheme="majorHAnsi" w:cstheme="majorHAnsi"/>
                <w:color w:val="000000"/>
              </w:rPr>
            </w:pPr>
            <w:r w:rsidRPr="0051619B">
              <w:rPr>
                <w:rFonts w:asciiTheme="majorHAnsi" w:eastAsia="Times New Roman" w:hAnsiTheme="majorHAnsi" w:cstheme="majorHAnsi"/>
                <w:color w:val="000000"/>
              </w:rPr>
              <w:t>Supplier refusal to sign QAG triggers risk assessment, but no escalation or decision authority is defined.</w:t>
            </w:r>
          </w:p>
        </w:tc>
        <w:tc>
          <w:tcPr>
            <w:tcW w:w="1245" w:type="dxa"/>
            <w:noWrap/>
            <w:hideMark/>
          </w:tcPr>
          <w:p w14:paraId="3376832E" w14:textId="77777777" w:rsidR="0051619B" w:rsidRPr="0051619B" w:rsidRDefault="0051619B" w:rsidP="0051619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rPr>
            </w:pPr>
            <w:r w:rsidRPr="0051619B">
              <w:rPr>
                <w:rFonts w:asciiTheme="majorHAnsi" w:eastAsia="Times New Roman" w:hAnsiTheme="majorHAnsi" w:cstheme="majorHAnsi"/>
                <w:b/>
                <w:bCs/>
                <w:color w:val="000000"/>
              </w:rPr>
              <w:t>Minor</w:t>
            </w:r>
          </w:p>
        </w:tc>
        <w:tc>
          <w:tcPr>
            <w:tcW w:w="3627" w:type="dxa"/>
            <w:noWrap/>
            <w:hideMark/>
          </w:tcPr>
          <w:p w14:paraId="64933AE0" w14:textId="77777777" w:rsidR="0051619B" w:rsidRPr="0051619B" w:rsidRDefault="0051619B" w:rsidP="0051619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51619B">
              <w:rPr>
                <w:rFonts w:asciiTheme="majorHAnsi" w:eastAsia="Times New Roman" w:hAnsiTheme="majorHAnsi" w:cstheme="majorHAnsi"/>
                <w:color w:val="000000"/>
              </w:rPr>
              <w:t>If a contract acceptor refuses to sign a QAG, Quality is to perform a risk assessment, but there's no defined decision pathway or escalation to leadership or QA.</w:t>
            </w:r>
          </w:p>
        </w:tc>
        <w:tc>
          <w:tcPr>
            <w:tcW w:w="3510" w:type="dxa"/>
            <w:noWrap/>
            <w:hideMark/>
          </w:tcPr>
          <w:p w14:paraId="7F4681EE" w14:textId="77777777" w:rsidR="0051619B" w:rsidRPr="0051619B" w:rsidRDefault="0051619B" w:rsidP="0051619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51619B">
              <w:rPr>
                <w:rFonts w:asciiTheme="majorHAnsi" w:eastAsia="Times New Roman" w:hAnsiTheme="majorHAnsi" w:cstheme="majorHAnsi"/>
                <w:color w:val="000000"/>
              </w:rPr>
              <w:t>Clarify escalation mechanism and required approver (e.g., Head of QA or QP) for proceeding with vendors who refuse QAG execution.</w:t>
            </w:r>
          </w:p>
        </w:tc>
        <w:tc>
          <w:tcPr>
            <w:tcW w:w="3128" w:type="dxa"/>
            <w:noWrap/>
            <w:hideMark/>
          </w:tcPr>
          <w:p w14:paraId="3920C411" w14:textId="6F52ACE9" w:rsidR="00380028" w:rsidRPr="00F145DA" w:rsidRDefault="0051619B" w:rsidP="0051619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51619B">
              <w:rPr>
                <w:rFonts w:asciiTheme="majorHAnsi" w:eastAsia="Times New Roman" w:hAnsiTheme="majorHAnsi" w:cstheme="majorHAnsi"/>
                <w:color w:val="000000"/>
              </w:rPr>
              <w:t>ISO 13485:2016 §4.1.5; ISO 14971:2019 §3.4</w:t>
            </w:r>
          </w:p>
          <w:p w14:paraId="4EF39081" w14:textId="592B9323" w:rsidR="0051619B" w:rsidRPr="0051619B" w:rsidRDefault="0051619B" w:rsidP="0051619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51619B">
              <w:rPr>
                <w:rFonts w:asciiTheme="majorHAnsi" w:eastAsia="Times New Roman" w:hAnsiTheme="majorHAnsi" w:cstheme="majorHAnsi"/>
                <w:color w:val="000000"/>
              </w:rPr>
              <w:t>SOP-0023 Quality Agreements (QAGs) Lifecycle Management</w:t>
            </w:r>
          </w:p>
        </w:tc>
      </w:tr>
    </w:tbl>
    <w:p w14:paraId="0546EC43" w14:textId="77777777" w:rsidR="0051619B" w:rsidRPr="00BE7233" w:rsidRDefault="0051619B" w:rsidP="0051619B">
      <w:pPr>
        <w:rPr>
          <w:rFonts w:asciiTheme="majorHAnsi" w:hAnsiTheme="majorHAnsi" w:cstheme="majorHAnsi"/>
        </w:rPr>
      </w:pPr>
    </w:p>
    <w:p w14:paraId="51F01162" w14:textId="77777777" w:rsidR="00BE7233" w:rsidRPr="00BE7233" w:rsidRDefault="00656355" w:rsidP="00BE7233">
      <w:pPr>
        <w:rPr>
          <w:rFonts w:asciiTheme="majorHAnsi" w:hAnsiTheme="majorHAnsi" w:cstheme="majorHAnsi"/>
        </w:rPr>
      </w:pPr>
      <w:r>
        <w:rPr>
          <w:rFonts w:asciiTheme="majorHAnsi" w:hAnsiTheme="majorHAnsi" w:cstheme="majorHAnsi"/>
        </w:rPr>
        <w:pict w14:anchorId="78BE1902">
          <v:rect id="_x0000_i1040" style="width:0;height:1.5pt" o:hralign="center" o:hrstd="t" o:hr="t" fillcolor="#a0a0a0" stroked="f"/>
        </w:pict>
      </w:r>
    </w:p>
    <w:p w14:paraId="01D7AD01" w14:textId="77777777" w:rsidR="00BE7233" w:rsidRDefault="00BE7233" w:rsidP="006B2647">
      <w:pPr>
        <w:rPr>
          <w:rFonts w:asciiTheme="majorHAnsi" w:hAnsiTheme="majorHAnsi" w:cstheme="majorHAnsi"/>
          <w:b/>
          <w:bCs/>
        </w:rPr>
      </w:pPr>
      <w:r w:rsidRPr="00BE7233">
        <w:rPr>
          <w:rFonts w:asciiTheme="majorHAnsi" w:hAnsiTheme="majorHAnsi" w:cstheme="majorHAnsi"/>
          <w:b/>
          <w:bCs/>
        </w:rPr>
        <w:t>Summary of Critical &amp; Moderate Issues</w:t>
      </w:r>
    </w:p>
    <w:p w14:paraId="6C14F4D1" w14:textId="77777777" w:rsidR="006B2647" w:rsidRPr="00BE7233" w:rsidRDefault="006B2647" w:rsidP="006B2647">
      <w:pPr>
        <w:rPr>
          <w:rFonts w:asciiTheme="majorHAnsi" w:hAnsiTheme="majorHAnsi" w:cstheme="majorHAnsi"/>
          <w:b/>
          <w:bCs/>
        </w:rPr>
      </w:pPr>
    </w:p>
    <w:tbl>
      <w:tblPr>
        <w:tblStyle w:val="GridTable2-Accent3"/>
        <w:tblW w:w="0" w:type="auto"/>
        <w:tblLook w:val="04A0" w:firstRow="1" w:lastRow="0" w:firstColumn="1" w:lastColumn="0" w:noHBand="0" w:noVBand="1"/>
      </w:tblPr>
      <w:tblGrid>
        <w:gridCol w:w="1182"/>
        <w:gridCol w:w="8360"/>
        <w:gridCol w:w="3418"/>
      </w:tblGrid>
      <w:tr w:rsidR="00BE7233" w:rsidRPr="00BE7233" w14:paraId="4AC02FC1" w14:textId="77777777" w:rsidTr="00D80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14AF04" w14:textId="77777777" w:rsidR="00BE7233" w:rsidRPr="00BE7233" w:rsidRDefault="00BE7233" w:rsidP="006B2647">
            <w:pPr>
              <w:jc w:val="center"/>
              <w:rPr>
                <w:rFonts w:asciiTheme="majorHAnsi" w:hAnsiTheme="majorHAnsi" w:cstheme="majorHAnsi"/>
              </w:rPr>
            </w:pPr>
            <w:r w:rsidRPr="00BE7233">
              <w:rPr>
                <w:rFonts w:asciiTheme="majorHAnsi" w:hAnsiTheme="majorHAnsi" w:cstheme="majorHAnsi"/>
              </w:rPr>
              <w:t>Severity</w:t>
            </w:r>
          </w:p>
        </w:tc>
        <w:tc>
          <w:tcPr>
            <w:tcW w:w="0" w:type="auto"/>
            <w:hideMark/>
          </w:tcPr>
          <w:p w14:paraId="168B1A61" w14:textId="77777777" w:rsidR="00BE7233" w:rsidRPr="00BE7233" w:rsidRDefault="00BE7233" w:rsidP="006B26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E7233">
              <w:rPr>
                <w:rFonts w:asciiTheme="majorHAnsi" w:hAnsiTheme="majorHAnsi" w:cstheme="majorHAnsi"/>
              </w:rPr>
              <w:t>Area of Nonconformance</w:t>
            </w:r>
          </w:p>
        </w:tc>
        <w:tc>
          <w:tcPr>
            <w:tcW w:w="0" w:type="auto"/>
            <w:hideMark/>
          </w:tcPr>
          <w:p w14:paraId="717FB142" w14:textId="77777777" w:rsidR="00BE7233" w:rsidRPr="00BE7233" w:rsidRDefault="00BE7233" w:rsidP="006B26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E7233">
              <w:rPr>
                <w:rFonts w:asciiTheme="majorHAnsi" w:hAnsiTheme="majorHAnsi" w:cstheme="majorHAnsi"/>
              </w:rPr>
              <w:t>Regulatory Gap</w:t>
            </w:r>
          </w:p>
        </w:tc>
      </w:tr>
      <w:tr w:rsidR="00BE7233" w:rsidRPr="00BE7233" w14:paraId="09D5FB3F" w14:textId="77777777" w:rsidTr="00D80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F4E5D7" w14:textId="77777777" w:rsidR="00BE7233" w:rsidRPr="00BE7233" w:rsidRDefault="00BE7233" w:rsidP="00BE7233">
            <w:pPr>
              <w:rPr>
                <w:rFonts w:asciiTheme="majorHAnsi" w:hAnsiTheme="majorHAnsi" w:cstheme="majorHAnsi"/>
              </w:rPr>
            </w:pPr>
            <w:r w:rsidRPr="00BE7233">
              <w:rPr>
                <w:rFonts w:asciiTheme="majorHAnsi" w:hAnsiTheme="majorHAnsi" w:cstheme="majorHAnsi"/>
              </w:rPr>
              <w:t>Critical</w:t>
            </w:r>
          </w:p>
        </w:tc>
        <w:tc>
          <w:tcPr>
            <w:tcW w:w="0" w:type="auto"/>
            <w:hideMark/>
          </w:tcPr>
          <w:p w14:paraId="53224411" w14:textId="77777777" w:rsidR="00BE7233" w:rsidRPr="006B2647" w:rsidRDefault="00BE7233" w:rsidP="00BE723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B2647">
              <w:rPr>
                <w:rFonts w:asciiTheme="majorHAnsi" w:hAnsiTheme="majorHAnsi" w:cstheme="majorHAnsi"/>
              </w:rPr>
              <w:t>No definition of CGMP role delineation between drug and device components in QAGs</w:t>
            </w:r>
          </w:p>
        </w:tc>
        <w:tc>
          <w:tcPr>
            <w:tcW w:w="0" w:type="auto"/>
            <w:hideMark/>
          </w:tcPr>
          <w:p w14:paraId="649A2DA5" w14:textId="77777777" w:rsidR="00BE7233" w:rsidRPr="00BE7233" w:rsidRDefault="00BE7233" w:rsidP="00BE723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E7233">
              <w:rPr>
                <w:rFonts w:asciiTheme="majorHAnsi" w:hAnsiTheme="majorHAnsi" w:cstheme="majorHAnsi"/>
              </w:rPr>
              <w:t>21 CFR Part 4.4(b)(1)</w:t>
            </w:r>
          </w:p>
        </w:tc>
      </w:tr>
      <w:tr w:rsidR="00BE7233" w:rsidRPr="00BE7233" w14:paraId="768733EF" w14:textId="77777777" w:rsidTr="00D801AA">
        <w:tc>
          <w:tcPr>
            <w:cnfStyle w:val="001000000000" w:firstRow="0" w:lastRow="0" w:firstColumn="1" w:lastColumn="0" w:oddVBand="0" w:evenVBand="0" w:oddHBand="0" w:evenHBand="0" w:firstRowFirstColumn="0" w:firstRowLastColumn="0" w:lastRowFirstColumn="0" w:lastRowLastColumn="0"/>
            <w:tcW w:w="0" w:type="auto"/>
            <w:hideMark/>
          </w:tcPr>
          <w:p w14:paraId="71144D5E" w14:textId="77777777" w:rsidR="00BE7233" w:rsidRPr="00BE7233" w:rsidRDefault="00BE7233" w:rsidP="00BE7233">
            <w:pPr>
              <w:rPr>
                <w:rFonts w:asciiTheme="majorHAnsi" w:hAnsiTheme="majorHAnsi" w:cstheme="majorHAnsi"/>
              </w:rPr>
            </w:pPr>
            <w:r w:rsidRPr="00BE7233">
              <w:rPr>
                <w:rFonts w:asciiTheme="majorHAnsi" w:hAnsiTheme="majorHAnsi" w:cstheme="majorHAnsi"/>
              </w:rPr>
              <w:lastRenderedPageBreak/>
              <w:t>Moderate</w:t>
            </w:r>
          </w:p>
        </w:tc>
        <w:tc>
          <w:tcPr>
            <w:tcW w:w="0" w:type="auto"/>
            <w:hideMark/>
          </w:tcPr>
          <w:p w14:paraId="32E8F2CE" w14:textId="77777777" w:rsidR="00BE7233" w:rsidRPr="006B2647" w:rsidRDefault="00BE7233" w:rsidP="00BE723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B2647">
              <w:rPr>
                <w:rFonts w:asciiTheme="majorHAnsi" w:hAnsiTheme="majorHAnsi" w:cstheme="majorHAnsi"/>
              </w:rPr>
              <w:t xml:space="preserve">Missing </w:t>
            </w:r>
            <w:proofErr w:type="gramStart"/>
            <w:r w:rsidRPr="006B2647">
              <w:rPr>
                <w:rFonts w:asciiTheme="majorHAnsi" w:hAnsiTheme="majorHAnsi" w:cstheme="majorHAnsi"/>
              </w:rPr>
              <w:t>quality</w:t>
            </w:r>
            <w:proofErr w:type="gramEnd"/>
            <w:r w:rsidRPr="006B2647">
              <w:rPr>
                <w:rFonts w:asciiTheme="majorHAnsi" w:hAnsiTheme="majorHAnsi" w:cstheme="majorHAnsi"/>
              </w:rPr>
              <w:t xml:space="preserve"> event communication requirements in agreements</w:t>
            </w:r>
          </w:p>
        </w:tc>
        <w:tc>
          <w:tcPr>
            <w:tcW w:w="0" w:type="auto"/>
            <w:hideMark/>
          </w:tcPr>
          <w:p w14:paraId="2DB792CB" w14:textId="77777777" w:rsidR="00BE7233" w:rsidRPr="00BE7233" w:rsidRDefault="00BE7233" w:rsidP="00BE723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E7233">
              <w:rPr>
                <w:rFonts w:asciiTheme="majorHAnsi" w:hAnsiTheme="majorHAnsi" w:cstheme="majorHAnsi"/>
              </w:rPr>
              <w:t>21 CFR 820.198, ISO 13485 §8.2.1</w:t>
            </w:r>
          </w:p>
        </w:tc>
      </w:tr>
      <w:tr w:rsidR="00BE7233" w:rsidRPr="00BE7233" w14:paraId="04019CE5" w14:textId="77777777" w:rsidTr="00D80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E04EE3" w14:textId="77777777" w:rsidR="00BE7233" w:rsidRPr="00BE7233" w:rsidRDefault="00BE7233" w:rsidP="00BE7233">
            <w:pPr>
              <w:rPr>
                <w:rFonts w:asciiTheme="majorHAnsi" w:hAnsiTheme="majorHAnsi" w:cstheme="majorHAnsi"/>
              </w:rPr>
            </w:pPr>
            <w:r w:rsidRPr="00BE7233">
              <w:rPr>
                <w:rFonts w:asciiTheme="majorHAnsi" w:hAnsiTheme="majorHAnsi" w:cstheme="majorHAnsi"/>
              </w:rPr>
              <w:t>Moderate</w:t>
            </w:r>
          </w:p>
        </w:tc>
        <w:tc>
          <w:tcPr>
            <w:tcW w:w="0" w:type="auto"/>
            <w:hideMark/>
          </w:tcPr>
          <w:p w14:paraId="273F2612" w14:textId="77777777" w:rsidR="00BE7233" w:rsidRPr="006B2647" w:rsidRDefault="00BE7233" w:rsidP="00BE723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B2647">
              <w:rPr>
                <w:rFonts w:asciiTheme="majorHAnsi" w:hAnsiTheme="majorHAnsi" w:cstheme="majorHAnsi"/>
              </w:rPr>
              <w:t xml:space="preserve">Lack of </w:t>
            </w:r>
            <w:proofErr w:type="spellStart"/>
            <w:r w:rsidRPr="006B2647">
              <w:rPr>
                <w:rFonts w:asciiTheme="majorHAnsi" w:hAnsiTheme="majorHAnsi" w:cstheme="majorHAnsi"/>
              </w:rPr>
              <w:t>postmarket</w:t>
            </w:r>
            <w:proofErr w:type="spellEnd"/>
            <w:r w:rsidRPr="006B2647">
              <w:rPr>
                <w:rFonts w:asciiTheme="majorHAnsi" w:hAnsiTheme="majorHAnsi" w:cstheme="majorHAnsi"/>
              </w:rPr>
              <w:t xml:space="preserve"> or field action responsibility assignment</w:t>
            </w:r>
          </w:p>
        </w:tc>
        <w:tc>
          <w:tcPr>
            <w:tcW w:w="0" w:type="auto"/>
            <w:hideMark/>
          </w:tcPr>
          <w:p w14:paraId="3CA43E95" w14:textId="77777777" w:rsidR="00BE7233" w:rsidRPr="00BE7233" w:rsidRDefault="00BE7233" w:rsidP="00BE723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E7233">
              <w:rPr>
                <w:rFonts w:asciiTheme="majorHAnsi" w:hAnsiTheme="majorHAnsi" w:cstheme="majorHAnsi"/>
              </w:rPr>
              <w:t>ISO 13485 §8.5.1</w:t>
            </w:r>
          </w:p>
        </w:tc>
      </w:tr>
    </w:tbl>
    <w:p w14:paraId="4CECAA99" w14:textId="77777777" w:rsidR="00BE7233" w:rsidRPr="00BE7233" w:rsidRDefault="00656355" w:rsidP="00BE7233">
      <w:pPr>
        <w:rPr>
          <w:rFonts w:asciiTheme="majorHAnsi" w:hAnsiTheme="majorHAnsi" w:cstheme="majorHAnsi"/>
        </w:rPr>
      </w:pPr>
      <w:r>
        <w:rPr>
          <w:rFonts w:asciiTheme="majorHAnsi" w:hAnsiTheme="majorHAnsi" w:cstheme="majorHAnsi"/>
        </w:rPr>
        <w:pict w14:anchorId="2FD24D8D">
          <v:rect id="_x0000_i1041" style="width:0;height:1.5pt" o:hralign="center" o:hrstd="t" o:hr="t" fillcolor="#a0a0a0" stroked="f"/>
        </w:pict>
      </w:r>
    </w:p>
    <w:p w14:paraId="2E598C45" w14:textId="77777777" w:rsidR="00BE7233" w:rsidRPr="00BE7233" w:rsidRDefault="00BE7233" w:rsidP="00BE7233">
      <w:pPr>
        <w:rPr>
          <w:rFonts w:asciiTheme="majorHAnsi" w:hAnsiTheme="majorHAnsi" w:cstheme="majorHAnsi"/>
          <w:b/>
          <w:bCs/>
        </w:rPr>
      </w:pPr>
      <w:r w:rsidRPr="00BE7233">
        <w:rPr>
          <w:rFonts w:asciiTheme="majorHAnsi" w:hAnsiTheme="majorHAnsi" w:cstheme="majorHAnsi"/>
          <w:b/>
          <w:bCs/>
        </w:rPr>
        <w:t>Minor Issues</w:t>
      </w:r>
    </w:p>
    <w:p w14:paraId="3C6700FE" w14:textId="77777777" w:rsidR="00BE7233" w:rsidRPr="00BE7233" w:rsidRDefault="00BE7233" w:rsidP="00BE7233">
      <w:pPr>
        <w:numPr>
          <w:ilvl w:val="0"/>
          <w:numId w:val="15"/>
        </w:numPr>
        <w:rPr>
          <w:rFonts w:asciiTheme="majorHAnsi" w:hAnsiTheme="majorHAnsi" w:cstheme="majorHAnsi"/>
        </w:rPr>
      </w:pPr>
      <w:r w:rsidRPr="00BE7233">
        <w:rPr>
          <w:rFonts w:asciiTheme="majorHAnsi" w:hAnsiTheme="majorHAnsi" w:cstheme="majorHAnsi"/>
        </w:rPr>
        <w:t>Insufficient procedural integration of risk controls into QAG development.</w:t>
      </w:r>
    </w:p>
    <w:p w14:paraId="569DE684" w14:textId="77777777" w:rsidR="00BE7233" w:rsidRPr="006B2647" w:rsidRDefault="00BE7233" w:rsidP="00BE7233">
      <w:pPr>
        <w:numPr>
          <w:ilvl w:val="0"/>
          <w:numId w:val="15"/>
        </w:numPr>
        <w:rPr>
          <w:rFonts w:asciiTheme="majorHAnsi" w:hAnsiTheme="majorHAnsi" w:cstheme="majorHAnsi"/>
        </w:rPr>
      </w:pPr>
      <w:r w:rsidRPr="00BE7233">
        <w:rPr>
          <w:rFonts w:asciiTheme="majorHAnsi" w:hAnsiTheme="majorHAnsi" w:cstheme="majorHAnsi"/>
        </w:rPr>
        <w:t xml:space="preserve">Lack of escalation criteria </w:t>
      </w:r>
      <w:r w:rsidRPr="006B2647">
        <w:rPr>
          <w:rFonts w:asciiTheme="majorHAnsi" w:hAnsiTheme="majorHAnsi" w:cstheme="majorHAnsi"/>
        </w:rPr>
        <w:t>when a supplier refuses to sign a QAG.</w:t>
      </w:r>
    </w:p>
    <w:p w14:paraId="02A1326B" w14:textId="77777777" w:rsidR="00BE7233" w:rsidRDefault="00BE7233" w:rsidP="00380028">
      <w:pPr>
        <w:numPr>
          <w:ilvl w:val="0"/>
          <w:numId w:val="15"/>
        </w:numPr>
        <w:rPr>
          <w:rFonts w:asciiTheme="majorHAnsi" w:hAnsiTheme="majorHAnsi" w:cstheme="majorHAnsi"/>
        </w:rPr>
      </w:pPr>
      <w:r w:rsidRPr="006B2647">
        <w:rPr>
          <w:rFonts w:asciiTheme="majorHAnsi" w:hAnsiTheme="majorHAnsi" w:cstheme="majorHAnsi"/>
        </w:rPr>
        <w:t>All items are traceable to applicable clauses and support audit readiness.</w:t>
      </w:r>
    </w:p>
    <w:p w14:paraId="66B27D28" w14:textId="77777777" w:rsidR="003D42EA" w:rsidRDefault="003D42EA" w:rsidP="003D42EA">
      <w:pPr>
        <w:ind w:left="360"/>
        <w:rPr>
          <w:rFonts w:asciiTheme="majorHAnsi" w:hAnsiTheme="majorHAnsi" w:cstheme="majorHAnsi"/>
        </w:rPr>
      </w:pPr>
    </w:p>
    <w:p w14:paraId="5805BBC6" w14:textId="3D381034" w:rsidR="003D2103" w:rsidRPr="006B2647" w:rsidRDefault="003D2103" w:rsidP="003D2103">
      <w:pPr>
        <w:ind w:left="360"/>
        <w:rPr>
          <w:rFonts w:asciiTheme="majorHAnsi" w:hAnsiTheme="majorHAnsi" w:cstheme="majorHAnsi"/>
        </w:rPr>
      </w:pPr>
    </w:p>
    <w:p w14:paraId="77E63C1C" w14:textId="6A08D8D1" w:rsidR="00DE24CA" w:rsidRDefault="00656355">
      <w:pPr>
        <w:rPr>
          <w:rFonts w:asciiTheme="majorHAnsi" w:hAnsiTheme="majorHAnsi" w:cstheme="majorHAnsi"/>
        </w:rPr>
      </w:pPr>
      <w:r>
        <w:rPr>
          <w:rFonts w:asciiTheme="majorHAnsi" w:hAnsiTheme="majorHAnsi" w:cstheme="majorHAnsi"/>
        </w:rPr>
        <w:pict w14:anchorId="68784C02">
          <v:rect id="_x0000_i1042" style="width:0;height:1.5pt" o:hralign="center" o:hrstd="t" o:hr="t" fillcolor="#a0a0a0" stroked="f"/>
        </w:pict>
      </w:r>
      <w:r w:rsidR="00DE24CA">
        <w:rPr>
          <w:rFonts w:asciiTheme="majorHAnsi" w:hAnsiTheme="majorHAnsi" w:cstheme="majorHAnsi"/>
        </w:rPr>
        <w:br w:type="page"/>
      </w:r>
    </w:p>
    <w:p w14:paraId="57064CE8" w14:textId="77777777" w:rsidR="00BE7233" w:rsidRPr="00F145DA" w:rsidRDefault="00BE7233" w:rsidP="00D00E17">
      <w:pPr>
        <w:rPr>
          <w:rFonts w:asciiTheme="majorHAnsi" w:hAnsiTheme="majorHAnsi" w:cstheme="majorHAnsi"/>
        </w:rPr>
      </w:pPr>
    </w:p>
    <w:p w14:paraId="1968B022" w14:textId="6CA24B13" w:rsidR="00974BAA" w:rsidRPr="00F145DA" w:rsidRDefault="00DE24CA" w:rsidP="00DE24CA">
      <w:pPr>
        <w:spacing w:before="100" w:beforeAutospacing="1" w:after="100" w:afterAutospacing="1"/>
        <w:outlineLvl w:val="2"/>
        <w:rPr>
          <w:rFonts w:asciiTheme="majorHAnsi" w:hAnsiTheme="majorHAnsi" w:cstheme="majorHAnsi"/>
        </w:rPr>
      </w:pPr>
      <w:r w:rsidRPr="004E2C59">
        <w:rPr>
          <w:rFonts w:asciiTheme="majorHAnsi" w:eastAsia="Times New Roman" w:hAnsiTheme="majorHAnsi" w:cstheme="majorHAnsi"/>
          <w:b/>
          <w:bCs/>
          <w:sz w:val="28"/>
          <w:szCs w:val="28"/>
        </w:rPr>
        <w:t>Document Reviewed: SOP-00</w:t>
      </w:r>
      <w:r>
        <w:rPr>
          <w:rFonts w:asciiTheme="majorHAnsi" w:eastAsia="Times New Roman" w:hAnsiTheme="majorHAnsi" w:cstheme="majorHAnsi"/>
          <w:b/>
          <w:bCs/>
          <w:sz w:val="28"/>
          <w:szCs w:val="28"/>
        </w:rPr>
        <w:t>33: Supplier Auditing and Qualification</w:t>
      </w:r>
    </w:p>
    <w:p w14:paraId="078F95FC" w14:textId="77777777" w:rsidR="00974BAA" w:rsidRDefault="00974BAA" w:rsidP="00974BAA">
      <w:pPr>
        <w:rPr>
          <w:rFonts w:asciiTheme="majorHAnsi" w:hAnsiTheme="majorHAnsi" w:cstheme="majorHAnsi"/>
        </w:rPr>
      </w:pPr>
      <w:r w:rsidRPr="00974BAA">
        <w:rPr>
          <w:rFonts w:asciiTheme="majorHAnsi" w:hAnsiTheme="majorHAnsi" w:cstheme="majorHAnsi"/>
        </w:rPr>
        <w:t xml:space="preserve">The review of </w:t>
      </w:r>
      <w:r w:rsidRPr="00974BAA">
        <w:rPr>
          <w:rFonts w:asciiTheme="majorHAnsi" w:hAnsiTheme="majorHAnsi" w:cstheme="majorHAnsi"/>
          <w:b/>
          <w:bCs/>
        </w:rPr>
        <w:t>SOP-0033: Supplier Auditing and Qualification</w:t>
      </w:r>
      <w:r w:rsidRPr="00974BAA">
        <w:rPr>
          <w:rFonts w:asciiTheme="majorHAnsi" w:hAnsiTheme="majorHAnsi" w:cstheme="majorHAnsi"/>
        </w:rPr>
        <w:t xml:space="preserve"> has been completed in alignment with:</w:t>
      </w:r>
    </w:p>
    <w:p w14:paraId="57FA3474" w14:textId="77777777" w:rsidR="007116A4" w:rsidRPr="00974BAA" w:rsidRDefault="007116A4" w:rsidP="00974BAA">
      <w:pPr>
        <w:rPr>
          <w:rFonts w:asciiTheme="majorHAnsi" w:hAnsiTheme="majorHAnsi" w:cstheme="majorHAnsi"/>
        </w:rPr>
      </w:pPr>
    </w:p>
    <w:p w14:paraId="2A799ED8" w14:textId="77777777" w:rsidR="00974BAA" w:rsidRPr="007116A4" w:rsidRDefault="00974BAA" w:rsidP="00974BAA">
      <w:pPr>
        <w:numPr>
          <w:ilvl w:val="0"/>
          <w:numId w:val="16"/>
        </w:numPr>
        <w:rPr>
          <w:rFonts w:asciiTheme="majorHAnsi" w:hAnsiTheme="majorHAnsi" w:cstheme="majorHAnsi"/>
        </w:rPr>
      </w:pPr>
      <w:r w:rsidRPr="007116A4">
        <w:rPr>
          <w:rFonts w:asciiTheme="majorHAnsi" w:hAnsiTheme="majorHAnsi" w:cstheme="majorHAnsi"/>
        </w:rPr>
        <w:t>21 CFR Part 820 (Quality System Regulation),</w:t>
      </w:r>
    </w:p>
    <w:p w14:paraId="16CF8416" w14:textId="77777777" w:rsidR="00974BAA" w:rsidRPr="007116A4" w:rsidRDefault="00974BAA" w:rsidP="00974BAA">
      <w:pPr>
        <w:numPr>
          <w:ilvl w:val="0"/>
          <w:numId w:val="16"/>
        </w:numPr>
        <w:rPr>
          <w:rFonts w:asciiTheme="majorHAnsi" w:hAnsiTheme="majorHAnsi" w:cstheme="majorHAnsi"/>
        </w:rPr>
      </w:pPr>
      <w:r w:rsidRPr="007116A4">
        <w:rPr>
          <w:rFonts w:asciiTheme="majorHAnsi" w:hAnsiTheme="majorHAnsi" w:cstheme="majorHAnsi"/>
        </w:rPr>
        <w:t>ISO 13485:2016 (Medical Devices – Quality Management Systems),</w:t>
      </w:r>
    </w:p>
    <w:p w14:paraId="320AFBA3" w14:textId="77777777" w:rsidR="00974BAA" w:rsidRPr="007116A4" w:rsidRDefault="00974BAA" w:rsidP="00974BAA">
      <w:pPr>
        <w:numPr>
          <w:ilvl w:val="0"/>
          <w:numId w:val="16"/>
        </w:numPr>
        <w:rPr>
          <w:rFonts w:asciiTheme="majorHAnsi" w:hAnsiTheme="majorHAnsi" w:cstheme="majorHAnsi"/>
        </w:rPr>
      </w:pPr>
      <w:r w:rsidRPr="007116A4">
        <w:rPr>
          <w:rFonts w:asciiTheme="majorHAnsi" w:hAnsiTheme="majorHAnsi" w:cstheme="majorHAnsi"/>
        </w:rPr>
        <w:t>ISO 14971:2019 (Risk Management for Medical Devices), and</w:t>
      </w:r>
    </w:p>
    <w:p w14:paraId="6A64662B" w14:textId="77777777" w:rsidR="00974BAA" w:rsidRPr="007116A4" w:rsidRDefault="00974BAA" w:rsidP="00974BAA">
      <w:pPr>
        <w:numPr>
          <w:ilvl w:val="0"/>
          <w:numId w:val="16"/>
        </w:numPr>
        <w:rPr>
          <w:rFonts w:asciiTheme="majorHAnsi" w:hAnsiTheme="majorHAnsi" w:cstheme="majorHAnsi"/>
        </w:rPr>
      </w:pPr>
      <w:r w:rsidRPr="007116A4">
        <w:rPr>
          <w:rFonts w:asciiTheme="majorHAnsi" w:hAnsiTheme="majorHAnsi" w:cstheme="majorHAnsi"/>
        </w:rPr>
        <w:t>21 CFR Part 4 (CGMP requirements for combination products).</w:t>
      </w:r>
    </w:p>
    <w:p w14:paraId="1681718B" w14:textId="77777777" w:rsidR="002A2633" w:rsidRPr="00F145DA" w:rsidRDefault="002A2633" w:rsidP="00974BAA">
      <w:pPr>
        <w:numPr>
          <w:ilvl w:val="0"/>
          <w:numId w:val="16"/>
        </w:numPr>
        <w:rPr>
          <w:rFonts w:asciiTheme="majorHAnsi" w:hAnsiTheme="majorHAnsi" w:cstheme="majorHAnsi"/>
        </w:rPr>
      </w:pPr>
    </w:p>
    <w:tbl>
      <w:tblPr>
        <w:tblStyle w:val="GridTable2-Accent3"/>
        <w:tblW w:w="13808" w:type="dxa"/>
        <w:tblLook w:val="04A0" w:firstRow="1" w:lastRow="0" w:firstColumn="1" w:lastColumn="0" w:noHBand="0" w:noVBand="1"/>
      </w:tblPr>
      <w:tblGrid>
        <w:gridCol w:w="3090"/>
        <w:gridCol w:w="1500"/>
        <w:gridCol w:w="4050"/>
        <w:gridCol w:w="5168"/>
      </w:tblGrid>
      <w:tr w:rsidR="00AF6585" w:rsidRPr="00F145DA" w14:paraId="51A11C5C" w14:textId="77777777" w:rsidTr="3D09FF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90" w:type="dxa"/>
            <w:noWrap/>
            <w:hideMark/>
          </w:tcPr>
          <w:p w14:paraId="65FDC0FE" w14:textId="77777777" w:rsidR="00AB48A6" w:rsidRPr="00AB48A6" w:rsidRDefault="00AB48A6" w:rsidP="00AB48A6">
            <w:pPr>
              <w:rPr>
                <w:rFonts w:asciiTheme="majorHAnsi" w:eastAsia="Times New Roman" w:hAnsiTheme="majorHAnsi" w:cstheme="majorHAnsi"/>
                <w:color w:val="000000"/>
              </w:rPr>
            </w:pPr>
            <w:r w:rsidRPr="00AB48A6">
              <w:rPr>
                <w:rFonts w:asciiTheme="majorHAnsi" w:eastAsia="Times New Roman" w:hAnsiTheme="majorHAnsi" w:cstheme="majorHAnsi"/>
                <w:color w:val="000000"/>
              </w:rPr>
              <w:t>Issue Description</w:t>
            </w:r>
          </w:p>
        </w:tc>
        <w:tc>
          <w:tcPr>
            <w:tcW w:w="1500" w:type="dxa"/>
            <w:noWrap/>
            <w:hideMark/>
          </w:tcPr>
          <w:p w14:paraId="52E1CFE0" w14:textId="77777777" w:rsidR="00AB48A6" w:rsidRPr="00AB48A6" w:rsidRDefault="00AB48A6" w:rsidP="00AB48A6">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AB48A6">
              <w:rPr>
                <w:rFonts w:asciiTheme="majorHAnsi" w:eastAsia="Times New Roman" w:hAnsiTheme="majorHAnsi" w:cstheme="majorHAnsi"/>
                <w:color w:val="000000"/>
              </w:rPr>
              <w:t>Severity Level</w:t>
            </w:r>
          </w:p>
        </w:tc>
        <w:tc>
          <w:tcPr>
            <w:tcW w:w="4050" w:type="dxa"/>
            <w:noWrap/>
            <w:hideMark/>
          </w:tcPr>
          <w:p w14:paraId="3BF0AB07" w14:textId="77777777" w:rsidR="00AB48A6" w:rsidRPr="00AB48A6" w:rsidRDefault="00AB48A6" w:rsidP="00AB48A6">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AB48A6">
              <w:rPr>
                <w:rFonts w:asciiTheme="majorHAnsi" w:eastAsia="Times New Roman" w:hAnsiTheme="majorHAnsi" w:cstheme="majorHAnsi"/>
                <w:color w:val="000000"/>
              </w:rPr>
              <w:t>Original Excerpt</w:t>
            </w:r>
          </w:p>
        </w:tc>
        <w:tc>
          <w:tcPr>
            <w:tcW w:w="5168" w:type="dxa"/>
            <w:noWrap/>
            <w:hideMark/>
          </w:tcPr>
          <w:p w14:paraId="1ADDFF8A" w14:textId="77777777" w:rsidR="00AB48A6" w:rsidRPr="00AB48A6" w:rsidRDefault="00AB48A6" w:rsidP="00AB48A6">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AB48A6">
              <w:rPr>
                <w:rFonts w:asciiTheme="majorHAnsi" w:eastAsia="Times New Roman" w:hAnsiTheme="majorHAnsi" w:cstheme="majorHAnsi"/>
                <w:color w:val="000000"/>
              </w:rPr>
              <w:t>Recommended Revision</w:t>
            </w:r>
          </w:p>
        </w:tc>
      </w:tr>
      <w:tr w:rsidR="00AF6585" w:rsidRPr="00F145DA" w14:paraId="1378A2C5" w14:textId="77777777" w:rsidTr="3D09FF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90" w:type="dxa"/>
            <w:noWrap/>
            <w:hideMark/>
          </w:tcPr>
          <w:p w14:paraId="2CC9DD59" w14:textId="77777777" w:rsidR="00AB48A6" w:rsidRPr="00AB48A6" w:rsidRDefault="00AB48A6" w:rsidP="00AB48A6">
            <w:pPr>
              <w:rPr>
                <w:rFonts w:asciiTheme="majorHAnsi" w:eastAsia="Times New Roman" w:hAnsiTheme="majorHAnsi" w:cstheme="majorHAnsi"/>
                <w:color w:val="000000"/>
              </w:rPr>
            </w:pPr>
            <w:r w:rsidRPr="00AB48A6">
              <w:rPr>
                <w:rFonts w:asciiTheme="majorHAnsi" w:eastAsia="Times New Roman" w:hAnsiTheme="majorHAnsi" w:cstheme="majorHAnsi"/>
                <w:color w:val="000000"/>
              </w:rPr>
              <w:t>No explicit auditing requirement for dual CGMP compliance for combination product suppliers.</w:t>
            </w:r>
          </w:p>
        </w:tc>
        <w:tc>
          <w:tcPr>
            <w:tcW w:w="1500" w:type="dxa"/>
            <w:noWrap/>
            <w:hideMark/>
          </w:tcPr>
          <w:p w14:paraId="573D76B3" w14:textId="77777777" w:rsidR="00AB48A6" w:rsidRPr="00AB48A6" w:rsidRDefault="00AB48A6" w:rsidP="00AB48A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rPr>
            </w:pPr>
            <w:r w:rsidRPr="00AB48A6">
              <w:rPr>
                <w:rFonts w:asciiTheme="majorHAnsi" w:eastAsia="Times New Roman" w:hAnsiTheme="majorHAnsi" w:cstheme="majorHAnsi"/>
                <w:b/>
                <w:bCs/>
                <w:color w:val="000000"/>
              </w:rPr>
              <w:t>Critical</w:t>
            </w:r>
          </w:p>
        </w:tc>
        <w:tc>
          <w:tcPr>
            <w:tcW w:w="4050" w:type="dxa"/>
            <w:noWrap/>
            <w:hideMark/>
          </w:tcPr>
          <w:p w14:paraId="6BFF82EC" w14:textId="77777777" w:rsidR="00AB48A6" w:rsidRPr="00AB48A6" w:rsidRDefault="00AB48A6" w:rsidP="00AB48A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AB48A6">
              <w:rPr>
                <w:rFonts w:asciiTheme="majorHAnsi" w:eastAsia="Times New Roman" w:hAnsiTheme="majorHAnsi" w:cstheme="majorHAnsi"/>
                <w:color w:val="000000"/>
              </w:rPr>
              <w:t xml:space="preserve">The SOP includes broad language on </w:t>
            </w:r>
            <w:proofErr w:type="spellStart"/>
            <w:r w:rsidRPr="00AB48A6">
              <w:rPr>
                <w:rFonts w:asciiTheme="majorHAnsi" w:eastAsia="Times New Roman" w:hAnsiTheme="majorHAnsi" w:cstheme="majorHAnsi"/>
                <w:color w:val="000000"/>
              </w:rPr>
              <w:t>GxP</w:t>
            </w:r>
            <w:proofErr w:type="spellEnd"/>
            <w:r w:rsidRPr="00AB48A6">
              <w:rPr>
                <w:rFonts w:asciiTheme="majorHAnsi" w:eastAsia="Times New Roman" w:hAnsiTheme="majorHAnsi" w:cstheme="majorHAnsi"/>
                <w:color w:val="000000"/>
              </w:rPr>
              <w:t xml:space="preserve"> supplier auditing but does not reference 21 CFR Part 4 or the need to evaluate suppliers against both drug and device CGMPs.</w:t>
            </w:r>
          </w:p>
        </w:tc>
        <w:tc>
          <w:tcPr>
            <w:tcW w:w="5168" w:type="dxa"/>
            <w:noWrap/>
            <w:hideMark/>
          </w:tcPr>
          <w:p w14:paraId="444E8607" w14:textId="77777777" w:rsidR="00AB48A6" w:rsidRPr="00AB48A6" w:rsidRDefault="00AB48A6" w:rsidP="00AB48A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AB48A6">
              <w:rPr>
                <w:rFonts w:asciiTheme="majorHAnsi" w:eastAsia="Times New Roman" w:hAnsiTheme="majorHAnsi" w:cstheme="majorHAnsi"/>
                <w:color w:val="000000"/>
              </w:rPr>
              <w:t>Incorporate a requirement that suppliers involved in combination products be audited against applicable parts of 21 CFR 210/211 and 820 in accordance with 21 CFR Part 4.4(b).</w:t>
            </w:r>
          </w:p>
        </w:tc>
      </w:tr>
      <w:tr w:rsidR="00AB48A6" w:rsidRPr="00AB48A6" w14:paraId="7A4379C4" w14:textId="77777777" w:rsidTr="3D09FF86">
        <w:trPr>
          <w:trHeight w:val="300"/>
        </w:trPr>
        <w:tc>
          <w:tcPr>
            <w:cnfStyle w:val="001000000000" w:firstRow="0" w:lastRow="0" w:firstColumn="1" w:lastColumn="0" w:oddVBand="0" w:evenVBand="0" w:oddHBand="0" w:evenHBand="0" w:firstRowFirstColumn="0" w:firstRowLastColumn="0" w:lastRowFirstColumn="0" w:lastRowLastColumn="0"/>
            <w:tcW w:w="3090" w:type="dxa"/>
            <w:noWrap/>
            <w:hideMark/>
          </w:tcPr>
          <w:p w14:paraId="16092C72" w14:textId="77777777" w:rsidR="00AB48A6" w:rsidRPr="00AB48A6" w:rsidRDefault="00AB48A6" w:rsidP="00AB48A6">
            <w:pPr>
              <w:rPr>
                <w:rFonts w:asciiTheme="majorHAnsi" w:eastAsia="Times New Roman" w:hAnsiTheme="majorHAnsi" w:cstheme="majorHAnsi"/>
                <w:color w:val="000000"/>
              </w:rPr>
            </w:pPr>
            <w:r w:rsidRPr="00AB48A6">
              <w:rPr>
                <w:rFonts w:asciiTheme="majorHAnsi" w:eastAsia="Times New Roman" w:hAnsiTheme="majorHAnsi" w:cstheme="majorHAnsi"/>
                <w:color w:val="000000"/>
              </w:rPr>
              <w:t>Risk-based approach to auditing lacks formal integration with ISO 14971 principles.</w:t>
            </w:r>
          </w:p>
        </w:tc>
        <w:tc>
          <w:tcPr>
            <w:tcW w:w="1500" w:type="dxa"/>
            <w:noWrap/>
            <w:hideMark/>
          </w:tcPr>
          <w:p w14:paraId="78FAD2D3" w14:textId="77777777" w:rsidR="00AB48A6" w:rsidRPr="00AB48A6" w:rsidRDefault="00AB48A6" w:rsidP="00AB48A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rPr>
            </w:pPr>
            <w:r w:rsidRPr="00AB48A6">
              <w:rPr>
                <w:rFonts w:asciiTheme="majorHAnsi" w:eastAsia="Times New Roman" w:hAnsiTheme="majorHAnsi" w:cstheme="majorHAnsi"/>
                <w:b/>
                <w:bCs/>
                <w:color w:val="000000"/>
              </w:rPr>
              <w:t>Moderate</w:t>
            </w:r>
          </w:p>
        </w:tc>
        <w:tc>
          <w:tcPr>
            <w:tcW w:w="4050" w:type="dxa"/>
            <w:noWrap/>
            <w:hideMark/>
          </w:tcPr>
          <w:p w14:paraId="4976D872" w14:textId="77777777" w:rsidR="00AB48A6" w:rsidRPr="00AB48A6" w:rsidRDefault="00AB48A6" w:rsidP="00AB48A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AB48A6">
              <w:rPr>
                <w:rFonts w:asciiTheme="majorHAnsi" w:eastAsia="Times New Roman" w:hAnsiTheme="majorHAnsi" w:cstheme="majorHAnsi"/>
                <w:color w:val="000000"/>
              </w:rPr>
              <w:t xml:space="preserve">Supplier audits are prioritized based on risk </w:t>
            </w:r>
            <w:proofErr w:type="gramStart"/>
            <w:r w:rsidRPr="00AB48A6">
              <w:rPr>
                <w:rFonts w:asciiTheme="majorHAnsi" w:eastAsia="Times New Roman" w:hAnsiTheme="majorHAnsi" w:cstheme="majorHAnsi"/>
                <w:color w:val="000000"/>
              </w:rPr>
              <w:t>level</w:t>
            </w:r>
            <w:proofErr w:type="gramEnd"/>
            <w:r w:rsidRPr="00AB48A6">
              <w:rPr>
                <w:rFonts w:asciiTheme="majorHAnsi" w:eastAsia="Times New Roman" w:hAnsiTheme="majorHAnsi" w:cstheme="majorHAnsi"/>
                <w:color w:val="000000"/>
              </w:rPr>
              <w:t xml:space="preserve"> but ISO 14971 risk control, verification, and residual risk are not referenced.</w:t>
            </w:r>
          </w:p>
        </w:tc>
        <w:tc>
          <w:tcPr>
            <w:tcW w:w="5168" w:type="dxa"/>
            <w:noWrap/>
            <w:hideMark/>
          </w:tcPr>
          <w:p w14:paraId="6F5A678D" w14:textId="77777777" w:rsidR="00AB48A6" w:rsidRPr="00AB48A6" w:rsidRDefault="00AB48A6" w:rsidP="00AB48A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AB48A6">
              <w:rPr>
                <w:rFonts w:asciiTheme="majorHAnsi" w:eastAsia="Times New Roman" w:hAnsiTheme="majorHAnsi" w:cstheme="majorHAnsi"/>
                <w:color w:val="000000"/>
              </w:rPr>
              <w:t>Explicitly link supplier audit prioritization to ISO 14971-compliant risk assessments for critical suppliers impacting product safety or performance.</w:t>
            </w:r>
          </w:p>
        </w:tc>
      </w:tr>
      <w:tr w:rsidR="00AF6585" w:rsidRPr="00F145DA" w14:paraId="6D31ED27" w14:textId="77777777" w:rsidTr="3D09FF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90" w:type="dxa"/>
            <w:noWrap/>
            <w:hideMark/>
          </w:tcPr>
          <w:p w14:paraId="09A343A0" w14:textId="77777777" w:rsidR="00AB48A6" w:rsidRPr="00AB48A6" w:rsidRDefault="00AB48A6" w:rsidP="00AB48A6">
            <w:pPr>
              <w:rPr>
                <w:rFonts w:asciiTheme="majorHAnsi" w:eastAsia="Times New Roman" w:hAnsiTheme="majorHAnsi" w:cstheme="majorHAnsi"/>
                <w:color w:val="000000"/>
              </w:rPr>
            </w:pPr>
            <w:r w:rsidRPr="00AB48A6">
              <w:rPr>
                <w:rFonts w:asciiTheme="majorHAnsi" w:eastAsia="Times New Roman" w:hAnsiTheme="majorHAnsi" w:cstheme="majorHAnsi"/>
                <w:color w:val="000000"/>
              </w:rPr>
              <w:t xml:space="preserve">Auditor qualifications are </w:t>
            </w:r>
            <w:proofErr w:type="gramStart"/>
            <w:r w:rsidRPr="00AB48A6">
              <w:rPr>
                <w:rFonts w:asciiTheme="majorHAnsi" w:eastAsia="Times New Roman" w:hAnsiTheme="majorHAnsi" w:cstheme="majorHAnsi"/>
                <w:color w:val="000000"/>
              </w:rPr>
              <w:t>defined, but</w:t>
            </w:r>
            <w:proofErr w:type="gramEnd"/>
            <w:r w:rsidRPr="00AB48A6">
              <w:rPr>
                <w:rFonts w:asciiTheme="majorHAnsi" w:eastAsia="Times New Roman" w:hAnsiTheme="majorHAnsi" w:cstheme="majorHAnsi"/>
                <w:color w:val="000000"/>
              </w:rPr>
              <w:t xml:space="preserve"> not linked to training on combination product regulations.</w:t>
            </w:r>
          </w:p>
        </w:tc>
        <w:tc>
          <w:tcPr>
            <w:tcW w:w="1500" w:type="dxa"/>
            <w:noWrap/>
            <w:hideMark/>
          </w:tcPr>
          <w:p w14:paraId="5766087F" w14:textId="77777777" w:rsidR="00AB48A6" w:rsidRPr="00AB48A6" w:rsidRDefault="00AB48A6" w:rsidP="00AB48A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rPr>
            </w:pPr>
            <w:r w:rsidRPr="00AB48A6">
              <w:rPr>
                <w:rFonts w:asciiTheme="majorHAnsi" w:eastAsia="Times New Roman" w:hAnsiTheme="majorHAnsi" w:cstheme="majorHAnsi"/>
                <w:b/>
                <w:bCs/>
                <w:color w:val="000000"/>
              </w:rPr>
              <w:t>Moderate</w:t>
            </w:r>
          </w:p>
        </w:tc>
        <w:tc>
          <w:tcPr>
            <w:tcW w:w="4050" w:type="dxa"/>
            <w:noWrap/>
            <w:hideMark/>
          </w:tcPr>
          <w:p w14:paraId="0060D2E5" w14:textId="77777777" w:rsidR="00AB48A6" w:rsidRPr="00AB48A6" w:rsidRDefault="00AB48A6" w:rsidP="00AB48A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AB48A6">
              <w:rPr>
                <w:rFonts w:asciiTheme="majorHAnsi" w:eastAsia="Times New Roman" w:hAnsiTheme="majorHAnsi" w:cstheme="majorHAnsi"/>
                <w:color w:val="000000"/>
              </w:rPr>
              <w:t>Auditor qualification per SOP-0076 is cited but there is no mention of specific training in dual CGMPs or combination product regulatory requirements.</w:t>
            </w:r>
          </w:p>
        </w:tc>
        <w:tc>
          <w:tcPr>
            <w:tcW w:w="5168" w:type="dxa"/>
            <w:noWrap/>
            <w:hideMark/>
          </w:tcPr>
          <w:p w14:paraId="1D875E1B" w14:textId="77777777" w:rsidR="00AB48A6" w:rsidRPr="00AB48A6" w:rsidRDefault="00AB48A6" w:rsidP="00AB48A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AB48A6">
              <w:rPr>
                <w:rFonts w:asciiTheme="majorHAnsi" w:eastAsia="Times New Roman" w:hAnsiTheme="majorHAnsi" w:cstheme="majorHAnsi"/>
                <w:color w:val="000000"/>
              </w:rPr>
              <w:t>Require auditor training to include understanding of combination product CGMP expectations and ISO 14971 risk control verification.</w:t>
            </w:r>
          </w:p>
        </w:tc>
      </w:tr>
      <w:tr w:rsidR="00AB48A6" w:rsidRPr="00AB48A6" w14:paraId="276C1DD1" w14:textId="77777777" w:rsidTr="3D09FF86">
        <w:trPr>
          <w:trHeight w:val="300"/>
        </w:trPr>
        <w:tc>
          <w:tcPr>
            <w:cnfStyle w:val="001000000000" w:firstRow="0" w:lastRow="0" w:firstColumn="1" w:lastColumn="0" w:oddVBand="0" w:evenVBand="0" w:oddHBand="0" w:evenHBand="0" w:firstRowFirstColumn="0" w:firstRowLastColumn="0" w:lastRowFirstColumn="0" w:lastRowLastColumn="0"/>
            <w:tcW w:w="3090" w:type="dxa"/>
            <w:noWrap/>
            <w:hideMark/>
          </w:tcPr>
          <w:p w14:paraId="2F63D400" w14:textId="77777777" w:rsidR="00AB48A6" w:rsidRPr="00AB48A6" w:rsidRDefault="00AB48A6" w:rsidP="00AB48A6">
            <w:pPr>
              <w:rPr>
                <w:rFonts w:asciiTheme="majorHAnsi" w:eastAsia="Times New Roman" w:hAnsiTheme="majorHAnsi" w:cstheme="majorHAnsi"/>
                <w:color w:val="000000"/>
              </w:rPr>
            </w:pPr>
            <w:r w:rsidRPr="00AB48A6">
              <w:rPr>
                <w:rFonts w:asciiTheme="majorHAnsi" w:eastAsia="Times New Roman" w:hAnsiTheme="majorHAnsi" w:cstheme="majorHAnsi"/>
                <w:color w:val="000000"/>
              </w:rPr>
              <w:lastRenderedPageBreak/>
              <w:t>No instruction for evaluating quality agreement content during audits.</w:t>
            </w:r>
          </w:p>
        </w:tc>
        <w:tc>
          <w:tcPr>
            <w:tcW w:w="1500" w:type="dxa"/>
            <w:noWrap/>
            <w:hideMark/>
          </w:tcPr>
          <w:p w14:paraId="23C8CDF5" w14:textId="77777777" w:rsidR="00AB48A6" w:rsidRPr="00AB48A6" w:rsidRDefault="00AB48A6" w:rsidP="00AB48A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rPr>
            </w:pPr>
            <w:r w:rsidRPr="00AB48A6">
              <w:rPr>
                <w:rFonts w:asciiTheme="majorHAnsi" w:eastAsia="Times New Roman" w:hAnsiTheme="majorHAnsi" w:cstheme="majorHAnsi"/>
                <w:b/>
                <w:bCs/>
                <w:color w:val="000000"/>
              </w:rPr>
              <w:t>Minor</w:t>
            </w:r>
          </w:p>
        </w:tc>
        <w:tc>
          <w:tcPr>
            <w:tcW w:w="4050" w:type="dxa"/>
            <w:noWrap/>
            <w:hideMark/>
          </w:tcPr>
          <w:p w14:paraId="6991EE31" w14:textId="77777777" w:rsidR="00AB48A6" w:rsidRPr="00AB48A6" w:rsidRDefault="00AB48A6" w:rsidP="00AB48A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AB48A6">
              <w:rPr>
                <w:rFonts w:asciiTheme="majorHAnsi" w:eastAsia="Times New Roman" w:hAnsiTheme="majorHAnsi" w:cstheme="majorHAnsi"/>
                <w:color w:val="000000"/>
              </w:rPr>
              <w:t>Auditors are directed to review QAGs (Section 5.4.1.4) but not to assess whether they cover essential GMP/GCP responsibilities.</w:t>
            </w:r>
          </w:p>
        </w:tc>
        <w:tc>
          <w:tcPr>
            <w:tcW w:w="5168" w:type="dxa"/>
            <w:noWrap/>
            <w:hideMark/>
          </w:tcPr>
          <w:p w14:paraId="1E6BC4DD" w14:textId="77777777" w:rsidR="00AB48A6" w:rsidRPr="00AB48A6" w:rsidRDefault="00AB48A6" w:rsidP="00AB48A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AB48A6">
              <w:rPr>
                <w:rFonts w:asciiTheme="majorHAnsi" w:eastAsia="Times New Roman" w:hAnsiTheme="majorHAnsi" w:cstheme="majorHAnsi"/>
                <w:color w:val="000000"/>
              </w:rPr>
              <w:t>Instruct auditors to assess whether quality agreements reviewed during audit include clear delineation of complaint handling, change control, traceability, and GMP/GCP obligations.</w:t>
            </w:r>
          </w:p>
        </w:tc>
      </w:tr>
      <w:tr w:rsidR="00AF6585" w:rsidRPr="00F145DA" w14:paraId="42EC1727" w14:textId="77777777" w:rsidTr="3D09FF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90" w:type="dxa"/>
            <w:noWrap/>
            <w:hideMark/>
          </w:tcPr>
          <w:p w14:paraId="79C091FF" w14:textId="77777777" w:rsidR="00AB48A6" w:rsidRPr="00AB48A6" w:rsidRDefault="00AB48A6" w:rsidP="00AB48A6">
            <w:pPr>
              <w:rPr>
                <w:rFonts w:asciiTheme="majorHAnsi" w:eastAsia="Times New Roman" w:hAnsiTheme="majorHAnsi" w:cstheme="majorHAnsi"/>
                <w:color w:val="000000"/>
              </w:rPr>
            </w:pPr>
            <w:r w:rsidRPr="00AB48A6">
              <w:rPr>
                <w:rFonts w:asciiTheme="majorHAnsi" w:eastAsia="Times New Roman" w:hAnsiTheme="majorHAnsi" w:cstheme="majorHAnsi"/>
                <w:color w:val="000000"/>
              </w:rPr>
              <w:t>Surveillance audit triggers do not include supplier's change in regulatory scope or combination product engagement.</w:t>
            </w:r>
          </w:p>
        </w:tc>
        <w:tc>
          <w:tcPr>
            <w:tcW w:w="1500" w:type="dxa"/>
            <w:noWrap/>
            <w:hideMark/>
          </w:tcPr>
          <w:p w14:paraId="6BADD0E1" w14:textId="77777777" w:rsidR="00AB48A6" w:rsidRPr="00AB48A6" w:rsidRDefault="00AB48A6" w:rsidP="00AB48A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rPr>
            </w:pPr>
            <w:r w:rsidRPr="00AB48A6">
              <w:rPr>
                <w:rFonts w:asciiTheme="majorHAnsi" w:eastAsia="Times New Roman" w:hAnsiTheme="majorHAnsi" w:cstheme="majorHAnsi"/>
                <w:b/>
                <w:bCs/>
                <w:color w:val="000000"/>
              </w:rPr>
              <w:t>Moderate</w:t>
            </w:r>
          </w:p>
        </w:tc>
        <w:tc>
          <w:tcPr>
            <w:tcW w:w="4050" w:type="dxa"/>
            <w:noWrap/>
            <w:hideMark/>
          </w:tcPr>
          <w:p w14:paraId="063341A7" w14:textId="77777777" w:rsidR="00AB48A6" w:rsidRPr="00AB48A6" w:rsidRDefault="00AB48A6" w:rsidP="00AB48A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AB48A6">
              <w:rPr>
                <w:rFonts w:asciiTheme="majorHAnsi" w:eastAsia="Times New Roman" w:hAnsiTheme="majorHAnsi" w:cstheme="majorHAnsi"/>
                <w:color w:val="000000"/>
              </w:rPr>
              <w:t>Audit frequency adjustments are linked to product phase, audit history, and performance, but not to expanded supplier responsibility for combination products or regulatory certification changes.</w:t>
            </w:r>
          </w:p>
        </w:tc>
        <w:tc>
          <w:tcPr>
            <w:tcW w:w="5168" w:type="dxa"/>
            <w:noWrap/>
            <w:hideMark/>
          </w:tcPr>
          <w:p w14:paraId="776A4528" w14:textId="77777777" w:rsidR="00AB48A6" w:rsidRPr="00AB48A6" w:rsidRDefault="00AB48A6" w:rsidP="00AB48A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AB48A6">
              <w:rPr>
                <w:rFonts w:asciiTheme="majorHAnsi" w:eastAsia="Times New Roman" w:hAnsiTheme="majorHAnsi" w:cstheme="majorHAnsi"/>
                <w:color w:val="000000"/>
              </w:rPr>
              <w:t>Revise audit frequency criteria to include triggers such as entry into combination product supply or change in regulatory oversight (e.g., loss of GMP certification).</w:t>
            </w:r>
          </w:p>
        </w:tc>
      </w:tr>
    </w:tbl>
    <w:p w14:paraId="78D61A22" w14:textId="77777777" w:rsidR="00AB48A6" w:rsidRPr="00974BAA" w:rsidRDefault="00AB48A6" w:rsidP="00AB48A6">
      <w:pPr>
        <w:rPr>
          <w:rFonts w:asciiTheme="majorHAnsi" w:hAnsiTheme="majorHAnsi" w:cstheme="majorHAnsi"/>
        </w:rPr>
      </w:pPr>
    </w:p>
    <w:p w14:paraId="28B0642D" w14:textId="77777777" w:rsidR="00974BAA" w:rsidRPr="00974BAA" w:rsidRDefault="00974BAA" w:rsidP="00974BAA">
      <w:pPr>
        <w:rPr>
          <w:rFonts w:asciiTheme="majorHAnsi" w:hAnsiTheme="majorHAnsi" w:cstheme="majorHAnsi"/>
        </w:rPr>
      </w:pPr>
      <w:r w:rsidRPr="00974BAA">
        <w:rPr>
          <w:rFonts w:asciiTheme="majorHAnsi" w:hAnsiTheme="majorHAnsi" w:cstheme="majorHAnsi"/>
        </w:rPr>
        <w:t xml:space="preserve">The resulting compliance findings have been displayed above and categorized by </w:t>
      </w:r>
      <w:r w:rsidRPr="00AF5F45">
        <w:rPr>
          <w:rFonts w:asciiTheme="majorHAnsi" w:hAnsiTheme="majorHAnsi" w:cstheme="majorHAnsi"/>
        </w:rPr>
        <w:t>severity. Notable Critical and Moderate gaps pertain</w:t>
      </w:r>
      <w:r w:rsidRPr="00974BAA">
        <w:rPr>
          <w:rFonts w:asciiTheme="majorHAnsi" w:hAnsiTheme="majorHAnsi" w:cstheme="majorHAnsi"/>
        </w:rPr>
        <w:t xml:space="preserve"> to:</w:t>
      </w:r>
    </w:p>
    <w:p w14:paraId="11FFE30C" w14:textId="77777777" w:rsidR="00974BAA" w:rsidRPr="00974BAA" w:rsidRDefault="00974BAA" w:rsidP="00974BAA">
      <w:pPr>
        <w:numPr>
          <w:ilvl w:val="0"/>
          <w:numId w:val="17"/>
        </w:numPr>
        <w:rPr>
          <w:rFonts w:asciiTheme="majorHAnsi" w:hAnsiTheme="majorHAnsi" w:cstheme="majorHAnsi"/>
        </w:rPr>
      </w:pPr>
      <w:r w:rsidRPr="00974BAA">
        <w:rPr>
          <w:rFonts w:asciiTheme="majorHAnsi" w:hAnsiTheme="majorHAnsi" w:cstheme="majorHAnsi"/>
        </w:rPr>
        <w:t>Omission of dual CGMP requirements for combination product suppliers.</w:t>
      </w:r>
    </w:p>
    <w:p w14:paraId="20B60EE4" w14:textId="77777777" w:rsidR="00974BAA" w:rsidRPr="00974BAA" w:rsidRDefault="00974BAA" w:rsidP="00974BAA">
      <w:pPr>
        <w:numPr>
          <w:ilvl w:val="0"/>
          <w:numId w:val="17"/>
        </w:numPr>
        <w:rPr>
          <w:rFonts w:asciiTheme="majorHAnsi" w:hAnsiTheme="majorHAnsi" w:cstheme="majorHAnsi"/>
        </w:rPr>
      </w:pPr>
      <w:r w:rsidRPr="00974BAA">
        <w:rPr>
          <w:rFonts w:asciiTheme="majorHAnsi" w:hAnsiTheme="majorHAnsi" w:cstheme="majorHAnsi"/>
        </w:rPr>
        <w:t>Lack of auditor competency in combination product regulations.</w:t>
      </w:r>
    </w:p>
    <w:p w14:paraId="0365F7E8" w14:textId="77777777" w:rsidR="00974BAA" w:rsidRPr="00974BAA" w:rsidRDefault="00974BAA" w:rsidP="00974BAA">
      <w:pPr>
        <w:numPr>
          <w:ilvl w:val="0"/>
          <w:numId w:val="17"/>
        </w:numPr>
        <w:rPr>
          <w:rFonts w:asciiTheme="majorHAnsi" w:hAnsiTheme="majorHAnsi" w:cstheme="majorHAnsi"/>
        </w:rPr>
      </w:pPr>
      <w:r w:rsidRPr="00974BAA">
        <w:rPr>
          <w:rFonts w:asciiTheme="majorHAnsi" w:hAnsiTheme="majorHAnsi" w:cstheme="majorHAnsi"/>
        </w:rPr>
        <w:t>Absence of integration with ISO 14971 for supplier-related risk controls.</w:t>
      </w:r>
    </w:p>
    <w:p w14:paraId="79E41FCC" w14:textId="77777777" w:rsidR="00974BAA" w:rsidRPr="00974BAA" w:rsidRDefault="00974BAA" w:rsidP="00974BAA">
      <w:pPr>
        <w:numPr>
          <w:ilvl w:val="0"/>
          <w:numId w:val="17"/>
        </w:numPr>
        <w:rPr>
          <w:rFonts w:asciiTheme="majorHAnsi" w:hAnsiTheme="majorHAnsi" w:cstheme="majorHAnsi"/>
        </w:rPr>
      </w:pPr>
      <w:r w:rsidRPr="00974BAA">
        <w:rPr>
          <w:rFonts w:asciiTheme="majorHAnsi" w:hAnsiTheme="majorHAnsi" w:cstheme="majorHAnsi"/>
        </w:rPr>
        <w:t>Weak link between supplier risk profiles and regulatory scope changes.</w:t>
      </w:r>
    </w:p>
    <w:p w14:paraId="00FDE7D7" w14:textId="77777777" w:rsidR="00AF5F45" w:rsidRDefault="00AF5F45" w:rsidP="00974BAA">
      <w:pPr>
        <w:rPr>
          <w:rFonts w:asciiTheme="majorHAnsi" w:hAnsiTheme="majorHAnsi" w:cstheme="majorHAnsi"/>
        </w:rPr>
      </w:pPr>
    </w:p>
    <w:p w14:paraId="3FA4CEDE" w14:textId="22E6880C" w:rsidR="00974BAA" w:rsidRPr="00AF5F45" w:rsidRDefault="00974BAA" w:rsidP="00974BAA">
      <w:pPr>
        <w:rPr>
          <w:rFonts w:asciiTheme="majorHAnsi" w:hAnsiTheme="majorHAnsi" w:cstheme="majorHAnsi"/>
        </w:rPr>
      </w:pPr>
      <w:r w:rsidRPr="00974BAA">
        <w:rPr>
          <w:rFonts w:asciiTheme="majorHAnsi" w:hAnsiTheme="majorHAnsi" w:cstheme="majorHAnsi"/>
        </w:rPr>
        <w:t>If you are reviewing supplier controls systemically, it</w:t>
      </w:r>
      <w:r w:rsidRPr="00AF5F45">
        <w:rPr>
          <w:rFonts w:asciiTheme="majorHAnsi" w:hAnsiTheme="majorHAnsi" w:cstheme="majorHAnsi"/>
        </w:rPr>
        <w:t xml:space="preserve"> is strongly recommended to re-examine:</w:t>
      </w:r>
    </w:p>
    <w:p w14:paraId="30A0FAEF" w14:textId="77777777" w:rsidR="00974BAA" w:rsidRPr="00AF5F45" w:rsidRDefault="00974BAA" w:rsidP="00974BAA">
      <w:pPr>
        <w:numPr>
          <w:ilvl w:val="0"/>
          <w:numId w:val="18"/>
        </w:numPr>
        <w:rPr>
          <w:rFonts w:asciiTheme="majorHAnsi" w:hAnsiTheme="majorHAnsi" w:cstheme="majorHAnsi"/>
        </w:rPr>
      </w:pPr>
      <w:r w:rsidRPr="00AF5F45">
        <w:rPr>
          <w:rFonts w:asciiTheme="majorHAnsi" w:hAnsiTheme="majorHAnsi" w:cstheme="majorHAnsi"/>
        </w:rPr>
        <w:t xml:space="preserve">SOP-0019: </w:t>
      </w:r>
      <w:r w:rsidRPr="00AF5F45">
        <w:rPr>
          <w:rFonts w:asciiTheme="majorHAnsi" w:hAnsiTheme="majorHAnsi" w:cstheme="majorHAnsi"/>
          <w:i/>
          <w:iCs/>
        </w:rPr>
        <w:t>Supplier Lifecycle Management</w:t>
      </w:r>
    </w:p>
    <w:p w14:paraId="2AC765F6" w14:textId="77777777" w:rsidR="00974BAA" w:rsidRPr="00AF5F45" w:rsidRDefault="00974BAA" w:rsidP="00974BAA">
      <w:pPr>
        <w:numPr>
          <w:ilvl w:val="0"/>
          <w:numId w:val="18"/>
        </w:numPr>
        <w:rPr>
          <w:rFonts w:asciiTheme="majorHAnsi" w:hAnsiTheme="majorHAnsi" w:cstheme="majorHAnsi"/>
        </w:rPr>
      </w:pPr>
      <w:r w:rsidRPr="00AF5F45">
        <w:rPr>
          <w:rFonts w:asciiTheme="majorHAnsi" w:hAnsiTheme="majorHAnsi" w:cstheme="majorHAnsi"/>
        </w:rPr>
        <w:t xml:space="preserve">SOP-0023: </w:t>
      </w:r>
      <w:r w:rsidRPr="00AF5F45">
        <w:rPr>
          <w:rFonts w:asciiTheme="majorHAnsi" w:hAnsiTheme="majorHAnsi" w:cstheme="majorHAnsi"/>
          <w:i/>
          <w:iCs/>
        </w:rPr>
        <w:t>Quality Agreements Lifecycle Management</w:t>
      </w:r>
    </w:p>
    <w:p w14:paraId="3E9F5E9E" w14:textId="77777777" w:rsidR="00974BAA" w:rsidRPr="00AF5F45" w:rsidRDefault="00974BAA" w:rsidP="00974BAA">
      <w:pPr>
        <w:rPr>
          <w:rFonts w:asciiTheme="majorHAnsi" w:hAnsiTheme="majorHAnsi" w:cstheme="majorHAnsi"/>
        </w:rPr>
      </w:pPr>
      <w:r w:rsidRPr="00AF5F45">
        <w:rPr>
          <w:rFonts w:asciiTheme="majorHAnsi" w:hAnsiTheme="majorHAnsi" w:cstheme="majorHAnsi"/>
        </w:rPr>
        <w:t>for alignment with these audit triggers and risk factors, especially those related to combination products, dual CGMP environments, and interface responsibilities defined under Part 4.</w:t>
      </w:r>
    </w:p>
    <w:p w14:paraId="25AA7A5D" w14:textId="262757F6" w:rsidR="00AF5F45" w:rsidRDefault="00AF5F45">
      <w:r>
        <w:br w:type="page"/>
      </w:r>
    </w:p>
    <w:p w14:paraId="4E66465E" w14:textId="77777777" w:rsidR="00974BAA" w:rsidRDefault="00974BAA" w:rsidP="00D00E17"/>
    <w:p w14:paraId="2934955E" w14:textId="77777777" w:rsidR="00155C5E" w:rsidRPr="00155C5E" w:rsidRDefault="00656355" w:rsidP="00155C5E">
      <w:pPr>
        <w:rPr>
          <w:rFonts w:asciiTheme="majorHAnsi" w:hAnsiTheme="majorHAnsi" w:cstheme="majorHAnsi"/>
        </w:rPr>
      </w:pPr>
      <w:r>
        <w:rPr>
          <w:rFonts w:asciiTheme="majorHAnsi" w:hAnsiTheme="majorHAnsi" w:cstheme="majorHAnsi"/>
        </w:rPr>
        <w:pict w14:anchorId="48133CCD">
          <v:rect id="_x0000_i1043" style="width:0;height:1.5pt" o:hralign="center" o:hrstd="t" o:hr="t" fillcolor="#a0a0a0" stroked="f"/>
        </w:pict>
      </w:r>
    </w:p>
    <w:p w14:paraId="61530DC4" w14:textId="77777777" w:rsidR="00155C5E" w:rsidRPr="00155C5E" w:rsidRDefault="00155C5E" w:rsidP="00155C5E">
      <w:pPr>
        <w:rPr>
          <w:rFonts w:asciiTheme="majorHAnsi" w:hAnsiTheme="majorHAnsi" w:cstheme="majorHAnsi"/>
          <w:b/>
          <w:bCs/>
          <w:sz w:val="28"/>
          <w:szCs w:val="28"/>
        </w:rPr>
      </w:pPr>
      <w:r w:rsidRPr="00155C5E">
        <w:rPr>
          <w:rFonts w:asciiTheme="majorHAnsi" w:hAnsiTheme="majorHAnsi" w:cstheme="majorHAnsi"/>
          <w:b/>
          <w:bCs/>
          <w:sz w:val="28"/>
          <w:szCs w:val="28"/>
        </w:rPr>
        <w:t>Conclusion</w:t>
      </w:r>
    </w:p>
    <w:p w14:paraId="4A43FF87" w14:textId="31717C9F" w:rsidR="00155C5E" w:rsidRPr="00CD26E2" w:rsidRDefault="00155C5E" w:rsidP="00155C5E">
      <w:pPr>
        <w:rPr>
          <w:rFonts w:asciiTheme="majorHAnsi" w:hAnsiTheme="majorHAnsi" w:cstheme="majorHAnsi"/>
        </w:rPr>
      </w:pPr>
      <w:r w:rsidRPr="00155C5E">
        <w:rPr>
          <w:rFonts w:asciiTheme="majorHAnsi" w:hAnsiTheme="majorHAnsi" w:cstheme="majorHAnsi"/>
        </w:rPr>
        <w:t xml:space="preserve">The current QMS framework at </w:t>
      </w:r>
      <w:proofErr w:type="spellStart"/>
      <w:r w:rsidRPr="00155C5E">
        <w:rPr>
          <w:rFonts w:asciiTheme="majorHAnsi" w:hAnsiTheme="majorHAnsi" w:cstheme="majorHAnsi"/>
        </w:rPr>
        <w:t>Kiniksa</w:t>
      </w:r>
      <w:proofErr w:type="spellEnd"/>
      <w:r w:rsidRPr="00155C5E">
        <w:rPr>
          <w:rFonts w:asciiTheme="majorHAnsi" w:hAnsiTheme="majorHAnsi" w:cstheme="majorHAnsi"/>
        </w:rPr>
        <w:t xml:space="preserve"> demonstrates partial compliance with key requirements of ISO 13485:2016, 21 CFR Part 820, and ISO 14971:2019. Several procedures reflect foundational elements of a compliant system; however, the system </w:t>
      </w:r>
      <w:proofErr w:type="gramStart"/>
      <w:r w:rsidRPr="00155C5E">
        <w:rPr>
          <w:rFonts w:asciiTheme="majorHAnsi" w:hAnsiTheme="majorHAnsi" w:cstheme="majorHAnsi"/>
        </w:rPr>
        <w:t>as a whole exhibits</w:t>
      </w:r>
      <w:proofErr w:type="gramEnd"/>
      <w:r w:rsidRPr="00155C5E">
        <w:rPr>
          <w:rFonts w:asciiTheme="majorHAnsi" w:hAnsiTheme="majorHAnsi" w:cstheme="majorHAnsi"/>
        </w:rPr>
        <w:t xml:space="preserve"> critical integration gaps, particularly where combination products and risk-based decision-making are concerned.</w:t>
      </w:r>
    </w:p>
    <w:p w14:paraId="1F378EE4" w14:textId="77777777" w:rsidR="00CD26E2" w:rsidRPr="00155C5E" w:rsidRDefault="00CD26E2" w:rsidP="00155C5E">
      <w:pPr>
        <w:rPr>
          <w:rFonts w:asciiTheme="majorHAnsi" w:hAnsiTheme="majorHAnsi" w:cstheme="majorHAnsi"/>
        </w:rPr>
      </w:pPr>
    </w:p>
    <w:p w14:paraId="2DAECA64" w14:textId="77777777" w:rsidR="00155C5E" w:rsidRPr="00155C5E" w:rsidRDefault="00155C5E" w:rsidP="00155C5E">
      <w:pPr>
        <w:rPr>
          <w:rFonts w:asciiTheme="majorHAnsi" w:hAnsiTheme="majorHAnsi" w:cstheme="majorHAnsi"/>
          <w:b/>
          <w:bCs/>
        </w:rPr>
      </w:pPr>
      <w:r w:rsidRPr="00155C5E">
        <w:rPr>
          <w:rFonts w:asciiTheme="majorHAnsi" w:hAnsiTheme="majorHAnsi" w:cstheme="majorHAnsi"/>
          <w:b/>
          <w:bCs/>
        </w:rPr>
        <w:t>Critical System-Wide Observations:</w:t>
      </w:r>
    </w:p>
    <w:tbl>
      <w:tblPr>
        <w:tblStyle w:val="GridTable2-Accent3"/>
        <w:tblW w:w="0" w:type="auto"/>
        <w:tblLook w:val="04A0" w:firstRow="1" w:lastRow="0" w:firstColumn="1" w:lastColumn="0" w:noHBand="0" w:noVBand="1"/>
      </w:tblPr>
      <w:tblGrid>
        <w:gridCol w:w="1992"/>
        <w:gridCol w:w="7014"/>
        <w:gridCol w:w="3954"/>
      </w:tblGrid>
      <w:tr w:rsidR="00041C94" w:rsidRPr="00155C5E" w14:paraId="3A642859" w14:textId="77777777" w:rsidTr="00CD26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972AD5" w14:textId="77777777" w:rsidR="00155C5E" w:rsidRPr="00155C5E" w:rsidRDefault="00155C5E" w:rsidP="00155C5E">
            <w:pPr>
              <w:rPr>
                <w:rFonts w:asciiTheme="majorHAnsi" w:hAnsiTheme="majorHAnsi" w:cstheme="majorHAnsi"/>
              </w:rPr>
            </w:pPr>
            <w:r w:rsidRPr="00155C5E">
              <w:rPr>
                <w:rFonts w:asciiTheme="majorHAnsi" w:hAnsiTheme="majorHAnsi" w:cstheme="majorHAnsi"/>
              </w:rPr>
              <w:t>Category</w:t>
            </w:r>
          </w:p>
        </w:tc>
        <w:tc>
          <w:tcPr>
            <w:tcW w:w="0" w:type="auto"/>
            <w:hideMark/>
          </w:tcPr>
          <w:p w14:paraId="3352F250" w14:textId="77777777" w:rsidR="00155C5E" w:rsidRPr="00155C5E" w:rsidRDefault="00155C5E" w:rsidP="00155C5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155C5E">
              <w:rPr>
                <w:rFonts w:asciiTheme="majorHAnsi" w:hAnsiTheme="majorHAnsi" w:cstheme="majorHAnsi"/>
              </w:rPr>
              <w:t>Issue</w:t>
            </w:r>
          </w:p>
        </w:tc>
        <w:tc>
          <w:tcPr>
            <w:tcW w:w="0" w:type="auto"/>
            <w:hideMark/>
          </w:tcPr>
          <w:p w14:paraId="1026C51A" w14:textId="77777777" w:rsidR="00155C5E" w:rsidRPr="00155C5E" w:rsidRDefault="00155C5E" w:rsidP="00155C5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155C5E">
              <w:rPr>
                <w:rFonts w:asciiTheme="majorHAnsi" w:hAnsiTheme="majorHAnsi" w:cstheme="majorHAnsi"/>
              </w:rPr>
              <w:t>Regulatory Risk</w:t>
            </w:r>
          </w:p>
        </w:tc>
      </w:tr>
      <w:tr w:rsidR="00041C94" w:rsidRPr="00155C5E" w14:paraId="6146D1B2" w14:textId="77777777" w:rsidTr="00CD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6CB720" w14:textId="77777777" w:rsidR="00155C5E" w:rsidRPr="00155C5E" w:rsidRDefault="00155C5E" w:rsidP="00155C5E">
            <w:pPr>
              <w:rPr>
                <w:rFonts w:asciiTheme="majorHAnsi" w:hAnsiTheme="majorHAnsi" w:cstheme="majorHAnsi"/>
              </w:rPr>
            </w:pPr>
            <w:r w:rsidRPr="00155C5E">
              <w:rPr>
                <w:rFonts w:asciiTheme="majorHAnsi" w:hAnsiTheme="majorHAnsi" w:cstheme="majorHAnsi"/>
              </w:rPr>
              <w:t>Risk Management</w:t>
            </w:r>
          </w:p>
        </w:tc>
        <w:tc>
          <w:tcPr>
            <w:tcW w:w="0" w:type="auto"/>
            <w:hideMark/>
          </w:tcPr>
          <w:p w14:paraId="78BA0377" w14:textId="77777777" w:rsidR="00155C5E" w:rsidRPr="00155C5E" w:rsidRDefault="00155C5E" w:rsidP="00155C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55C5E">
              <w:rPr>
                <w:rFonts w:asciiTheme="majorHAnsi" w:hAnsiTheme="majorHAnsi" w:cstheme="majorHAnsi"/>
              </w:rPr>
              <w:t xml:space="preserve">Lack of documented Risk Management Plan, overall residual risk evaluation, and </w:t>
            </w:r>
            <w:proofErr w:type="spellStart"/>
            <w:r w:rsidRPr="00155C5E">
              <w:rPr>
                <w:rFonts w:asciiTheme="majorHAnsi" w:hAnsiTheme="majorHAnsi" w:cstheme="majorHAnsi"/>
              </w:rPr>
              <w:t>postmarket</w:t>
            </w:r>
            <w:proofErr w:type="spellEnd"/>
            <w:r w:rsidRPr="00155C5E">
              <w:rPr>
                <w:rFonts w:asciiTheme="majorHAnsi" w:hAnsiTheme="majorHAnsi" w:cstheme="majorHAnsi"/>
              </w:rPr>
              <w:t xml:space="preserve"> surveillance alignment</w:t>
            </w:r>
          </w:p>
        </w:tc>
        <w:tc>
          <w:tcPr>
            <w:tcW w:w="0" w:type="auto"/>
            <w:hideMark/>
          </w:tcPr>
          <w:p w14:paraId="1323D8F4" w14:textId="77777777" w:rsidR="00155C5E" w:rsidRPr="00155C5E" w:rsidRDefault="00155C5E" w:rsidP="00155C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55C5E">
              <w:rPr>
                <w:rFonts w:asciiTheme="majorHAnsi" w:hAnsiTheme="majorHAnsi" w:cstheme="majorHAnsi"/>
              </w:rPr>
              <w:t>ISO 14971 Clauses 4–10</w:t>
            </w:r>
          </w:p>
        </w:tc>
      </w:tr>
      <w:tr w:rsidR="00155C5E" w:rsidRPr="00155C5E" w14:paraId="58791F68" w14:textId="77777777" w:rsidTr="00CD26E2">
        <w:tc>
          <w:tcPr>
            <w:cnfStyle w:val="001000000000" w:firstRow="0" w:lastRow="0" w:firstColumn="1" w:lastColumn="0" w:oddVBand="0" w:evenVBand="0" w:oddHBand="0" w:evenHBand="0" w:firstRowFirstColumn="0" w:firstRowLastColumn="0" w:lastRowFirstColumn="0" w:lastRowLastColumn="0"/>
            <w:tcW w:w="0" w:type="auto"/>
            <w:hideMark/>
          </w:tcPr>
          <w:p w14:paraId="74E77752" w14:textId="77777777" w:rsidR="00155C5E" w:rsidRPr="00155C5E" w:rsidRDefault="00155C5E" w:rsidP="00155C5E">
            <w:pPr>
              <w:rPr>
                <w:rFonts w:asciiTheme="majorHAnsi" w:hAnsiTheme="majorHAnsi" w:cstheme="majorHAnsi"/>
              </w:rPr>
            </w:pPr>
            <w:r w:rsidRPr="00155C5E">
              <w:rPr>
                <w:rFonts w:asciiTheme="majorHAnsi" w:hAnsiTheme="majorHAnsi" w:cstheme="majorHAnsi"/>
              </w:rPr>
              <w:t>Combination Products</w:t>
            </w:r>
          </w:p>
        </w:tc>
        <w:tc>
          <w:tcPr>
            <w:tcW w:w="0" w:type="auto"/>
            <w:hideMark/>
          </w:tcPr>
          <w:p w14:paraId="6ED986F0" w14:textId="77777777" w:rsidR="00155C5E" w:rsidRPr="00155C5E" w:rsidRDefault="00155C5E" w:rsidP="00155C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55C5E">
              <w:rPr>
                <w:rFonts w:asciiTheme="majorHAnsi" w:hAnsiTheme="majorHAnsi" w:cstheme="majorHAnsi"/>
              </w:rPr>
              <w:t>Procedures do not delineate drug/device CGMP roles nor audit or qualify vendors under dual-CGMP models</w:t>
            </w:r>
          </w:p>
        </w:tc>
        <w:tc>
          <w:tcPr>
            <w:tcW w:w="0" w:type="auto"/>
            <w:hideMark/>
          </w:tcPr>
          <w:p w14:paraId="2A1A92A9" w14:textId="77777777" w:rsidR="00155C5E" w:rsidRPr="00155C5E" w:rsidRDefault="00155C5E" w:rsidP="00155C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55C5E">
              <w:rPr>
                <w:rFonts w:asciiTheme="majorHAnsi" w:hAnsiTheme="majorHAnsi" w:cstheme="majorHAnsi"/>
              </w:rPr>
              <w:t>21 CFR Part 4.4(b)(1); FDA Combination Product Guidance</w:t>
            </w:r>
          </w:p>
        </w:tc>
      </w:tr>
      <w:tr w:rsidR="00041C94" w:rsidRPr="00155C5E" w14:paraId="0A380358" w14:textId="77777777" w:rsidTr="00CD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B6B398" w14:textId="77777777" w:rsidR="00155C5E" w:rsidRPr="00155C5E" w:rsidRDefault="00155C5E" w:rsidP="00155C5E">
            <w:pPr>
              <w:rPr>
                <w:rFonts w:asciiTheme="majorHAnsi" w:hAnsiTheme="majorHAnsi" w:cstheme="majorHAnsi"/>
              </w:rPr>
            </w:pPr>
            <w:r w:rsidRPr="00155C5E">
              <w:rPr>
                <w:rFonts w:asciiTheme="majorHAnsi" w:hAnsiTheme="majorHAnsi" w:cstheme="majorHAnsi"/>
              </w:rPr>
              <w:t>Change Management</w:t>
            </w:r>
          </w:p>
        </w:tc>
        <w:tc>
          <w:tcPr>
            <w:tcW w:w="0" w:type="auto"/>
            <w:hideMark/>
          </w:tcPr>
          <w:p w14:paraId="3114ADC1" w14:textId="77777777" w:rsidR="00155C5E" w:rsidRPr="00155C5E" w:rsidRDefault="00155C5E" w:rsidP="00155C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55C5E">
              <w:rPr>
                <w:rFonts w:asciiTheme="majorHAnsi" w:hAnsiTheme="majorHAnsi" w:cstheme="majorHAnsi"/>
              </w:rPr>
              <w:t>Design-impacting changes do not consistently trigger design controls or RMF updates</w:t>
            </w:r>
          </w:p>
        </w:tc>
        <w:tc>
          <w:tcPr>
            <w:tcW w:w="0" w:type="auto"/>
            <w:hideMark/>
          </w:tcPr>
          <w:p w14:paraId="015A8F4C" w14:textId="77777777" w:rsidR="00155C5E" w:rsidRPr="00155C5E" w:rsidRDefault="00155C5E" w:rsidP="00155C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55C5E">
              <w:rPr>
                <w:rFonts w:asciiTheme="majorHAnsi" w:hAnsiTheme="majorHAnsi" w:cstheme="majorHAnsi"/>
              </w:rPr>
              <w:t>21 CFR 820.30(</w:t>
            </w:r>
            <w:proofErr w:type="spellStart"/>
            <w:r w:rsidRPr="00155C5E">
              <w:rPr>
                <w:rFonts w:asciiTheme="majorHAnsi" w:hAnsiTheme="majorHAnsi" w:cstheme="majorHAnsi"/>
              </w:rPr>
              <w:t>i</w:t>
            </w:r>
            <w:proofErr w:type="spellEnd"/>
            <w:r w:rsidRPr="00155C5E">
              <w:rPr>
                <w:rFonts w:asciiTheme="majorHAnsi" w:hAnsiTheme="majorHAnsi" w:cstheme="majorHAnsi"/>
              </w:rPr>
              <w:t>); ISO 13485 §7.3.9</w:t>
            </w:r>
          </w:p>
        </w:tc>
      </w:tr>
      <w:tr w:rsidR="00155C5E" w:rsidRPr="00155C5E" w14:paraId="2C902BB4" w14:textId="77777777" w:rsidTr="00CD26E2">
        <w:tc>
          <w:tcPr>
            <w:cnfStyle w:val="001000000000" w:firstRow="0" w:lastRow="0" w:firstColumn="1" w:lastColumn="0" w:oddVBand="0" w:evenVBand="0" w:oddHBand="0" w:evenHBand="0" w:firstRowFirstColumn="0" w:firstRowLastColumn="0" w:lastRowFirstColumn="0" w:lastRowLastColumn="0"/>
            <w:tcW w:w="0" w:type="auto"/>
            <w:hideMark/>
          </w:tcPr>
          <w:p w14:paraId="21E50B4F" w14:textId="77777777" w:rsidR="00155C5E" w:rsidRPr="00155C5E" w:rsidRDefault="00155C5E" w:rsidP="00155C5E">
            <w:pPr>
              <w:rPr>
                <w:rFonts w:asciiTheme="majorHAnsi" w:hAnsiTheme="majorHAnsi" w:cstheme="majorHAnsi"/>
              </w:rPr>
            </w:pPr>
            <w:r w:rsidRPr="00155C5E">
              <w:rPr>
                <w:rFonts w:asciiTheme="majorHAnsi" w:hAnsiTheme="majorHAnsi" w:cstheme="majorHAnsi"/>
              </w:rPr>
              <w:t>CAPA</w:t>
            </w:r>
          </w:p>
        </w:tc>
        <w:tc>
          <w:tcPr>
            <w:tcW w:w="0" w:type="auto"/>
            <w:hideMark/>
          </w:tcPr>
          <w:p w14:paraId="6AEF877D" w14:textId="77777777" w:rsidR="00155C5E" w:rsidRPr="00155C5E" w:rsidRDefault="00155C5E" w:rsidP="00155C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55C5E">
              <w:rPr>
                <w:rFonts w:asciiTheme="majorHAnsi" w:hAnsiTheme="majorHAnsi" w:cstheme="majorHAnsi"/>
              </w:rPr>
              <w:t>No trend analysis, weak preventive action triggers, and missing integration with risk files</w:t>
            </w:r>
          </w:p>
        </w:tc>
        <w:tc>
          <w:tcPr>
            <w:tcW w:w="0" w:type="auto"/>
            <w:hideMark/>
          </w:tcPr>
          <w:p w14:paraId="022DA7EF" w14:textId="77777777" w:rsidR="00155C5E" w:rsidRPr="00155C5E" w:rsidRDefault="00155C5E" w:rsidP="00155C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55C5E">
              <w:rPr>
                <w:rFonts w:asciiTheme="majorHAnsi" w:hAnsiTheme="majorHAnsi" w:cstheme="majorHAnsi"/>
              </w:rPr>
              <w:t>21 CFR 820.100(a)(1); ISO 13485 §8.4–8.5</w:t>
            </w:r>
          </w:p>
        </w:tc>
      </w:tr>
      <w:tr w:rsidR="00041C94" w:rsidRPr="00155C5E" w14:paraId="4D7B8248" w14:textId="77777777" w:rsidTr="00CD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E974DB" w14:textId="77777777" w:rsidR="00155C5E" w:rsidRPr="00155C5E" w:rsidRDefault="00155C5E" w:rsidP="00155C5E">
            <w:pPr>
              <w:rPr>
                <w:rFonts w:asciiTheme="majorHAnsi" w:hAnsiTheme="majorHAnsi" w:cstheme="majorHAnsi"/>
              </w:rPr>
            </w:pPr>
            <w:r w:rsidRPr="00155C5E">
              <w:rPr>
                <w:rFonts w:asciiTheme="majorHAnsi" w:hAnsiTheme="majorHAnsi" w:cstheme="majorHAnsi"/>
              </w:rPr>
              <w:t>Design Control</w:t>
            </w:r>
          </w:p>
        </w:tc>
        <w:tc>
          <w:tcPr>
            <w:tcW w:w="0" w:type="auto"/>
            <w:hideMark/>
          </w:tcPr>
          <w:p w14:paraId="6434C595" w14:textId="77777777" w:rsidR="00155C5E" w:rsidRPr="00155C5E" w:rsidRDefault="00155C5E" w:rsidP="00155C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55C5E">
              <w:rPr>
                <w:rFonts w:asciiTheme="majorHAnsi" w:hAnsiTheme="majorHAnsi" w:cstheme="majorHAnsi"/>
              </w:rPr>
              <w:t>No documented traceability to risk activities or validation of risk control effectiveness</w:t>
            </w:r>
          </w:p>
        </w:tc>
        <w:tc>
          <w:tcPr>
            <w:tcW w:w="0" w:type="auto"/>
            <w:hideMark/>
          </w:tcPr>
          <w:p w14:paraId="578CBEAB" w14:textId="77777777" w:rsidR="00155C5E" w:rsidRPr="00155C5E" w:rsidRDefault="00155C5E" w:rsidP="00155C5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55C5E">
              <w:rPr>
                <w:rFonts w:asciiTheme="majorHAnsi" w:hAnsiTheme="majorHAnsi" w:cstheme="majorHAnsi"/>
              </w:rPr>
              <w:t>ISO 14971 §7; 21 CFR 820.30(g)</w:t>
            </w:r>
          </w:p>
        </w:tc>
      </w:tr>
    </w:tbl>
    <w:p w14:paraId="17DFE365" w14:textId="77777777" w:rsidR="006B2647" w:rsidRDefault="006B2647" w:rsidP="00155C5E">
      <w:pPr>
        <w:rPr>
          <w:rFonts w:asciiTheme="majorHAnsi" w:hAnsiTheme="majorHAnsi" w:cstheme="majorHAnsi"/>
          <w:b/>
          <w:bCs/>
        </w:rPr>
      </w:pPr>
    </w:p>
    <w:p w14:paraId="7C090CE8" w14:textId="77777777" w:rsidR="00155C5E" w:rsidRPr="00155C5E" w:rsidRDefault="00656355" w:rsidP="00155C5E">
      <w:pPr>
        <w:rPr>
          <w:rFonts w:asciiTheme="majorHAnsi" w:hAnsiTheme="majorHAnsi" w:cstheme="majorHAnsi"/>
        </w:rPr>
      </w:pPr>
      <w:r>
        <w:rPr>
          <w:rFonts w:asciiTheme="majorHAnsi" w:hAnsiTheme="majorHAnsi" w:cstheme="majorHAnsi"/>
        </w:rPr>
        <w:pict w14:anchorId="02DBF3C3">
          <v:rect id="_x0000_i1044" style="width:0;height:1.5pt" o:hralign="center" o:hrstd="t" o:hr="t" fillcolor="#a0a0a0" stroked="f"/>
        </w:pict>
      </w:r>
    </w:p>
    <w:p w14:paraId="024116D3" w14:textId="5BA3E7A6" w:rsidR="00155C5E" w:rsidRPr="00155C5E" w:rsidRDefault="00155C5E" w:rsidP="00155C5E">
      <w:pPr>
        <w:rPr>
          <w:rFonts w:asciiTheme="majorHAnsi" w:hAnsiTheme="majorHAnsi" w:cstheme="majorHAnsi"/>
          <w:b/>
          <w:bCs/>
          <w:sz w:val="28"/>
          <w:szCs w:val="28"/>
        </w:rPr>
      </w:pPr>
      <w:r w:rsidRPr="00155C5E">
        <w:rPr>
          <w:rFonts w:asciiTheme="majorHAnsi" w:hAnsiTheme="majorHAnsi" w:cstheme="majorHAnsi"/>
          <w:b/>
          <w:bCs/>
          <w:sz w:val="28"/>
          <w:szCs w:val="28"/>
        </w:rPr>
        <w:t>Overall Compliance:</w:t>
      </w:r>
    </w:p>
    <w:p w14:paraId="16154E7C" w14:textId="198EC576" w:rsidR="00155C5E" w:rsidRPr="00155C5E" w:rsidRDefault="00155C5E" w:rsidP="00155C5E">
      <w:pPr>
        <w:rPr>
          <w:rFonts w:asciiTheme="majorHAnsi" w:hAnsiTheme="majorHAnsi" w:cstheme="majorHAnsi"/>
        </w:rPr>
      </w:pPr>
      <w:r w:rsidRPr="00155C5E">
        <w:rPr>
          <w:rFonts w:asciiTheme="majorHAnsi" w:hAnsiTheme="majorHAnsi" w:cstheme="majorHAnsi"/>
          <w:b/>
          <w:bCs/>
        </w:rPr>
        <w:t>Partially Compliant</w:t>
      </w:r>
      <w:r w:rsidRPr="00155C5E">
        <w:rPr>
          <w:rFonts w:asciiTheme="majorHAnsi" w:hAnsiTheme="majorHAnsi" w:cstheme="majorHAnsi"/>
        </w:rPr>
        <w:t xml:space="preserve"> – Requires targeted procedural revisions and cross-functional integration to close high-risk compliance gaps and align with dual CGMP requirements for combination products.</w:t>
      </w:r>
    </w:p>
    <w:p w14:paraId="4A709682" w14:textId="77777777" w:rsidR="00155C5E" w:rsidRPr="00155C5E" w:rsidRDefault="00656355" w:rsidP="00155C5E">
      <w:r>
        <w:pict w14:anchorId="4B2323CE">
          <v:rect id="_x0000_i1045" style="width:0;height:1.5pt" o:hralign="center" o:hrstd="t" o:hr="t" fillcolor="#a0a0a0" stroked="f"/>
        </w:pict>
      </w:r>
    </w:p>
    <w:p w14:paraId="63AA6A93" w14:textId="77777777" w:rsidR="00155C5E" w:rsidRPr="00D00E17" w:rsidRDefault="00155C5E" w:rsidP="00D00E17"/>
    <w:sectPr w:rsidR="00155C5E" w:rsidRPr="00D00E17" w:rsidSect="00AF6585">
      <w:pgSz w:w="15840" w:h="12240" w:orient="landscape"/>
      <w:pgMar w:top="1440" w:right="1440" w:bottom="1440" w:left="1440" w:header="5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9F59D" w14:textId="77777777" w:rsidR="00BF7DED" w:rsidRDefault="00BF7DED" w:rsidP="00813789">
      <w:r>
        <w:separator/>
      </w:r>
    </w:p>
  </w:endnote>
  <w:endnote w:type="continuationSeparator" w:id="0">
    <w:p w14:paraId="76B2C441" w14:textId="77777777" w:rsidR="00BF7DED" w:rsidRDefault="00BF7DED" w:rsidP="00813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3740273"/>
      <w:docPartObj>
        <w:docPartGallery w:val="Page Numbers (Bottom of Page)"/>
        <w:docPartUnique/>
      </w:docPartObj>
    </w:sdtPr>
    <w:sdtEndPr>
      <w:rPr>
        <w:noProof/>
      </w:rPr>
    </w:sdtEndPr>
    <w:sdtContent>
      <w:p w14:paraId="0880EECC" w14:textId="2AB976B6" w:rsidR="00FD6BF1" w:rsidRDefault="00FD6B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C2D82" w14:textId="716D4870" w:rsidR="00813789" w:rsidRPr="00813789" w:rsidRDefault="00813789" w:rsidP="00813789">
    <w:pPr>
      <w:jc w:val="center"/>
      <w:rPr>
        <w:rFonts w:ascii="Times New Roman" w:eastAsia="Times New Roman" w:hAnsi="Times New Roman" w:cs="Times New Roman"/>
        <w:color w:val="117E81"/>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2DF39" w14:textId="77777777" w:rsidR="00BF7DED" w:rsidRDefault="00BF7DED" w:rsidP="00813789">
      <w:r>
        <w:separator/>
      </w:r>
    </w:p>
  </w:footnote>
  <w:footnote w:type="continuationSeparator" w:id="0">
    <w:p w14:paraId="2CE2AA9A" w14:textId="77777777" w:rsidR="00BF7DED" w:rsidRDefault="00BF7DED" w:rsidP="00813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90576" w14:textId="45CF5327" w:rsidR="00813789" w:rsidRPr="00813789" w:rsidRDefault="00A617C0" w:rsidP="004E30F5">
    <w:pPr>
      <w:pStyle w:val="Header"/>
      <w:tabs>
        <w:tab w:val="clear" w:pos="9360"/>
      </w:tabs>
      <w:ind w:left="-180" w:right="-1440"/>
    </w:pPr>
    <w:r>
      <w:rPr>
        <w:noProof/>
      </w:rPr>
      <w:drawing>
        <wp:inline distT="0" distB="0" distL="0" distR="0" wp14:anchorId="3DB5DCE7" wp14:editId="1B954523">
          <wp:extent cx="3587262" cy="892309"/>
          <wp:effectExtent l="0" t="0" r="0" b="0"/>
          <wp:docPr id="584931882"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39237" name="Picture 1" descr="A black background with blue text&#10;&#10;AI-generated content may be incorrect."/>
                  <pic:cNvPicPr/>
                </pic:nvPicPr>
                <pic:blipFill rotWithShape="1">
                  <a:blip r:embed="rId1">
                    <a:extLst>
                      <a:ext uri="{28A0092B-C50C-407E-A947-70E740481C1C}">
                        <a14:useLocalDpi xmlns:a14="http://schemas.microsoft.com/office/drawing/2010/main" val="0"/>
                      </a:ext>
                    </a:extLst>
                  </a:blip>
                  <a:srcRect l="6814" t="18259" r="5680" b="14767"/>
                  <a:stretch/>
                </pic:blipFill>
                <pic:spPr bwMode="auto">
                  <a:xfrm>
                    <a:off x="0" y="0"/>
                    <a:ext cx="3636702" cy="904607"/>
                  </a:xfrm>
                  <a:prstGeom prst="rect">
                    <a:avLst/>
                  </a:prstGeom>
                  <a:ln>
                    <a:noFill/>
                  </a:ln>
                  <a:extLst>
                    <a:ext uri="{53640926-AAD7-44D8-BBD7-CCE9431645EC}">
                      <a14:shadowObscured xmlns:a14="http://schemas.microsoft.com/office/drawing/2010/main"/>
                    </a:ext>
                  </a:extLst>
                </pic:spPr>
              </pic:pic>
            </a:graphicData>
          </a:graphic>
        </wp:inline>
      </w:drawing>
    </w:r>
  </w:p>
  <w:p w14:paraId="47A3885B" w14:textId="2985933F" w:rsidR="00813789" w:rsidRPr="003616AE" w:rsidRDefault="00813789" w:rsidP="00813789">
    <w:pPr>
      <w:pStyle w:val="Header"/>
      <w:tabs>
        <w:tab w:val="clear" w:pos="9360"/>
      </w:tabs>
      <w:ind w:left="-1440" w:right="-1440"/>
      <w:jc w:val="center"/>
      <w:rPr>
        <w:color w:val="BFBFBF" w:themeColor="background1" w:themeShade="BF"/>
      </w:rPr>
    </w:pPr>
    <w:r w:rsidRPr="003616AE">
      <w:rPr>
        <w:color w:val="BFBFBF" w:themeColor="background1" w:themeShade="BF"/>
      </w:rPr>
      <w:t>__________________________________________________________________________________</w:t>
    </w:r>
  </w:p>
  <w:p w14:paraId="7520898B" w14:textId="77777777" w:rsidR="00813789" w:rsidRPr="00813789" w:rsidRDefault="00813789" w:rsidP="00813789">
    <w:pPr>
      <w:pStyle w:val="Header"/>
      <w:tabs>
        <w:tab w:val="clear" w:pos="9360"/>
      </w:tabs>
      <w:ind w:left="-1440" w:right="-1440"/>
      <w:rPr>
        <w:color w:val="117E8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0A31"/>
    <w:multiLevelType w:val="multilevel"/>
    <w:tmpl w:val="6D46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64C63"/>
    <w:multiLevelType w:val="multilevel"/>
    <w:tmpl w:val="69D8D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A15D7"/>
    <w:multiLevelType w:val="multilevel"/>
    <w:tmpl w:val="FDCA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27EAC"/>
    <w:multiLevelType w:val="multilevel"/>
    <w:tmpl w:val="BD0A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00041"/>
    <w:multiLevelType w:val="multilevel"/>
    <w:tmpl w:val="B374D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26E35"/>
    <w:multiLevelType w:val="multilevel"/>
    <w:tmpl w:val="788A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56A6D"/>
    <w:multiLevelType w:val="multilevel"/>
    <w:tmpl w:val="503A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E3634"/>
    <w:multiLevelType w:val="multilevel"/>
    <w:tmpl w:val="2DD6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B0337"/>
    <w:multiLevelType w:val="hybridMultilevel"/>
    <w:tmpl w:val="1EF4D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F1A89"/>
    <w:multiLevelType w:val="multilevel"/>
    <w:tmpl w:val="716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F1342"/>
    <w:multiLevelType w:val="multilevel"/>
    <w:tmpl w:val="EAFC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F0072"/>
    <w:multiLevelType w:val="multilevel"/>
    <w:tmpl w:val="92E2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87327"/>
    <w:multiLevelType w:val="multilevel"/>
    <w:tmpl w:val="C98C8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5E2B5B"/>
    <w:multiLevelType w:val="hybridMultilevel"/>
    <w:tmpl w:val="EB4A3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76113"/>
    <w:multiLevelType w:val="multilevel"/>
    <w:tmpl w:val="C3C4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A6D33"/>
    <w:multiLevelType w:val="multilevel"/>
    <w:tmpl w:val="052E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8365F5"/>
    <w:multiLevelType w:val="multilevel"/>
    <w:tmpl w:val="7FB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F6450E"/>
    <w:multiLevelType w:val="multilevel"/>
    <w:tmpl w:val="B912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21D06"/>
    <w:multiLevelType w:val="multilevel"/>
    <w:tmpl w:val="68D40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54466C"/>
    <w:multiLevelType w:val="multilevel"/>
    <w:tmpl w:val="CFA0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1F190E"/>
    <w:multiLevelType w:val="multilevel"/>
    <w:tmpl w:val="A826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7604A4"/>
    <w:multiLevelType w:val="multilevel"/>
    <w:tmpl w:val="8204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CB17E2"/>
    <w:multiLevelType w:val="multilevel"/>
    <w:tmpl w:val="D3CA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BC3D89"/>
    <w:multiLevelType w:val="multilevel"/>
    <w:tmpl w:val="CAC8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769738">
    <w:abstractNumId w:val="18"/>
  </w:num>
  <w:num w:numId="2" w16cid:durableId="1296107211">
    <w:abstractNumId w:val="17"/>
  </w:num>
  <w:num w:numId="3" w16cid:durableId="1266310511">
    <w:abstractNumId w:val="0"/>
  </w:num>
  <w:num w:numId="4" w16cid:durableId="363989248">
    <w:abstractNumId w:val="14"/>
  </w:num>
  <w:num w:numId="5" w16cid:durableId="702629223">
    <w:abstractNumId w:val="15"/>
  </w:num>
  <w:num w:numId="6" w16cid:durableId="214661084">
    <w:abstractNumId w:val="12"/>
  </w:num>
  <w:num w:numId="7" w16cid:durableId="1228302751">
    <w:abstractNumId w:val="3"/>
  </w:num>
  <w:num w:numId="8" w16cid:durableId="568616010">
    <w:abstractNumId w:val="16"/>
  </w:num>
  <w:num w:numId="9" w16cid:durableId="224149681">
    <w:abstractNumId w:val="23"/>
  </w:num>
  <w:num w:numId="10" w16cid:durableId="777023493">
    <w:abstractNumId w:val="4"/>
  </w:num>
  <w:num w:numId="11" w16cid:durableId="960451633">
    <w:abstractNumId w:val="20"/>
  </w:num>
  <w:num w:numId="12" w16cid:durableId="1340308619">
    <w:abstractNumId w:val="5"/>
  </w:num>
  <w:num w:numId="13" w16cid:durableId="537859498">
    <w:abstractNumId w:val="19"/>
  </w:num>
  <w:num w:numId="14" w16cid:durableId="1790271369">
    <w:abstractNumId w:val="9"/>
  </w:num>
  <w:num w:numId="15" w16cid:durableId="197276860">
    <w:abstractNumId w:val="11"/>
  </w:num>
  <w:num w:numId="16" w16cid:durableId="1578592216">
    <w:abstractNumId w:val="6"/>
  </w:num>
  <w:num w:numId="17" w16cid:durableId="1080103559">
    <w:abstractNumId w:val="2"/>
  </w:num>
  <w:num w:numId="18" w16cid:durableId="298414899">
    <w:abstractNumId w:val="22"/>
  </w:num>
  <w:num w:numId="19" w16cid:durableId="1746604944">
    <w:abstractNumId w:val="7"/>
  </w:num>
  <w:num w:numId="20" w16cid:durableId="945186627">
    <w:abstractNumId w:val="10"/>
  </w:num>
  <w:num w:numId="21" w16cid:durableId="692726556">
    <w:abstractNumId w:val="21"/>
  </w:num>
  <w:num w:numId="22" w16cid:durableId="679427255">
    <w:abstractNumId w:val="1"/>
  </w:num>
  <w:num w:numId="23" w16cid:durableId="1687828337">
    <w:abstractNumId w:val="8"/>
  </w:num>
  <w:num w:numId="24" w16cid:durableId="14431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789"/>
    <w:rsid w:val="000076F4"/>
    <w:rsid w:val="00041C94"/>
    <w:rsid w:val="00042FB1"/>
    <w:rsid w:val="00057CB5"/>
    <w:rsid w:val="0007175E"/>
    <w:rsid w:val="00074D5A"/>
    <w:rsid w:val="0008536D"/>
    <w:rsid w:val="00093A24"/>
    <w:rsid w:val="00093DC7"/>
    <w:rsid w:val="00097EC4"/>
    <w:rsid w:val="000A79F2"/>
    <w:rsid w:val="000D2727"/>
    <w:rsid w:val="000F51F6"/>
    <w:rsid w:val="00111A2C"/>
    <w:rsid w:val="00113162"/>
    <w:rsid w:val="001304CA"/>
    <w:rsid w:val="001528ED"/>
    <w:rsid w:val="0015297D"/>
    <w:rsid w:val="00155C5E"/>
    <w:rsid w:val="00167E0F"/>
    <w:rsid w:val="00176512"/>
    <w:rsid w:val="001A6257"/>
    <w:rsid w:val="001D4DD9"/>
    <w:rsid w:val="002056FA"/>
    <w:rsid w:val="00224984"/>
    <w:rsid w:val="00233F46"/>
    <w:rsid w:val="002A2633"/>
    <w:rsid w:val="002A4BF6"/>
    <w:rsid w:val="002B3A39"/>
    <w:rsid w:val="002D19D1"/>
    <w:rsid w:val="002D7A43"/>
    <w:rsid w:val="002D7A79"/>
    <w:rsid w:val="00307B01"/>
    <w:rsid w:val="00321A7B"/>
    <w:rsid w:val="00325348"/>
    <w:rsid w:val="00355256"/>
    <w:rsid w:val="003616AE"/>
    <w:rsid w:val="00376491"/>
    <w:rsid w:val="00380028"/>
    <w:rsid w:val="00383589"/>
    <w:rsid w:val="00384570"/>
    <w:rsid w:val="0039297D"/>
    <w:rsid w:val="003D2103"/>
    <w:rsid w:val="003D2D89"/>
    <w:rsid w:val="003D42EA"/>
    <w:rsid w:val="003D5E8F"/>
    <w:rsid w:val="003D71DE"/>
    <w:rsid w:val="003E3F0D"/>
    <w:rsid w:val="0040611B"/>
    <w:rsid w:val="004350E3"/>
    <w:rsid w:val="00466E2E"/>
    <w:rsid w:val="00474AF1"/>
    <w:rsid w:val="0047697B"/>
    <w:rsid w:val="004D4B09"/>
    <w:rsid w:val="004E2C59"/>
    <w:rsid w:val="004E30F5"/>
    <w:rsid w:val="004E788E"/>
    <w:rsid w:val="004F3D76"/>
    <w:rsid w:val="005030B8"/>
    <w:rsid w:val="0051619B"/>
    <w:rsid w:val="00520B08"/>
    <w:rsid w:val="005238EC"/>
    <w:rsid w:val="00543783"/>
    <w:rsid w:val="00564AAB"/>
    <w:rsid w:val="005802ED"/>
    <w:rsid w:val="005859FD"/>
    <w:rsid w:val="00585CA5"/>
    <w:rsid w:val="005B04E1"/>
    <w:rsid w:val="005C39E9"/>
    <w:rsid w:val="005C3EFE"/>
    <w:rsid w:val="005E2EA2"/>
    <w:rsid w:val="005F6FC2"/>
    <w:rsid w:val="00611717"/>
    <w:rsid w:val="00631F21"/>
    <w:rsid w:val="00634FE2"/>
    <w:rsid w:val="00647193"/>
    <w:rsid w:val="00656355"/>
    <w:rsid w:val="0065777A"/>
    <w:rsid w:val="00672634"/>
    <w:rsid w:val="00675160"/>
    <w:rsid w:val="00685E0E"/>
    <w:rsid w:val="006A1183"/>
    <w:rsid w:val="006B2647"/>
    <w:rsid w:val="006B57FB"/>
    <w:rsid w:val="006B7729"/>
    <w:rsid w:val="006D54AD"/>
    <w:rsid w:val="006E73FB"/>
    <w:rsid w:val="00700EF0"/>
    <w:rsid w:val="007116A4"/>
    <w:rsid w:val="00727B20"/>
    <w:rsid w:val="00750AE5"/>
    <w:rsid w:val="0077203B"/>
    <w:rsid w:val="00774C73"/>
    <w:rsid w:val="00782A24"/>
    <w:rsid w:val="00790D84"/>
    <w:rsid w:val="007C2282"/>
    <w:rsid w:val="007C7703"/>
    <w:rsid w:val="007D077E"/>
    <w:rsid w:val="007D7EA1"/>
    <w:rsid w:val="00805B39"/>
    <w:rsid w:val="00813789"/>
    <w:rsid w:val="008237D8"/>
    <w:rsid w:val="00823C77"/>
    <w:rsid w:val="008518CA"/>
    <w:rsid w:val="00865A62"/>
    <w:rsid w:val="008754C8"/>
    <w:rsid w:val="00875BCA"/>
    <w:rsid w:val="008B1862"/>
    <w:rsid w:val="008C2530"/>
    <w:rsid w:val="008E08AE"/>
    <w:rsid w:val="008E21DC"/>
    <w:rsid w:val="008F3631"/>
    <w:rsid w:val="0091060D"/>
    <w:rsid w:val="00913A90"/>
    <w:rsid w:val="00916E61"/>
    <w:rsid w:val="009242B9"/>
    <w:rsid w:val="00974BAA"/>
    <w:rsid w:val="00986F6D"/>
    <w:rsid w:val="00995DBD"/>
    <w:rsid w:val="00996493"/>
    <w:rsid w:val="009A395C"/>
    <w:rsid w:val="009A7BA7"/>
    <w:rsid w:val="00A1109B"/>
    <w:rsid w:val="00A617C0"/>
    <w:rsid w:val="00A62EBE"/>
    <w:rsid w:val="00A7742C"/>
    <w:rsid w:val="00A82E3E"/>
    <w:rsid w:val="00A8757E"/>
    <w:rsid w:val="00AB48A6"/>
    <w:rsid w:val="00AB6053"/>
    <w:rsid w:val="00AD196B"/>
    <w:rsid w:val="00AF5F45"/>
    <w:rsid w:val="00AF6585"/>
    <w:rsid w:val="00B11C3F"/>
    <w:rsid w:val="00B27DAF"/>
    <w:rsid w:val="00B367AA"/>
    <w:rsid w:val="00B81425"/>
    <w:rsid w:val="00BB08DE"/>
    <w:rsid w:val="00BE7233"/>
    <w:rsid w:val="00BF573A"/>
    <w:rsid w:val="00BF7DED"/>
    <w:rsid w:val="00C24724"/>
    <w:rsid w:val="00C37EDF"/>
    <w:rsid w:val="00C576C3"/>
    <w:rsid w:val="00C74686"/>
    <w:rsid w:val="00C910BD"/>
    <w:rsid w:val="00C939F4"/>
    <w:rsid w:val="00C9560B"/>
    <w:rsid w:val="00CB0F21"/>
    <w:rsid w:val="00CC3FEE"/>
    <w:rsid w:val="00CD137E"/>
    <w:rsid w:val="00CD1EBF"/>
    <w:rsid w:val="00CD26E2"/>
    <w:rsid w:val="00CD4EC0"/>
    <w:rsid w:val="00D00E17"/>
    <w:rsid w:val="00D354C6"/>
    <w:rsid w:val="00D42570"/>
    <w:rsid w:val="00D44EC0"/>
    <w:rsid w:val="00D45ABD"/>
    <w:rsid w:val="00D8019F"/>
    <w:rsid w:val="00D801AA"/>
    <w:rsid w:val="00D85799"/>
    <w:rsid w:val="00D947DA"/>
    <w:rsid w:val="00DA3951"/>
    <w:rsid w:val="00DC423E"/>
    <w:rsid w:val="00DD213D"/>
    <w:rsid w:val="00DE24CA"/>
    <w:rsid w:val="00DF2BCE"/>
    <w:rsid w:val="00DF6758"/>
    <w:rsid w:val="00E018E3"/>
    <w:rsid w:val="00E03F35"/>
    <w:rsid w:val="00E10D96"/>
    <w:rsid w:val="00E30042"/>
    <w:rsid w:val="00E40C13"/>
    <w:rsid w:val="00E41F82"/>
    <w:rsid w:val="00E47AE5"/>
    <w:rsid w:val="00E95D18"/>
    <w:rsid w:val="00EC38C2"/>
    <w:rsid w:val="00F016DA"/>
    <w:rsid w:val="00F04292"/>
    <w:rsid w:val="00F0670D"/>
    <w:rsid w:val="00F145DA"/>
    <w:rsid w:val="00F413AD"/>
    <w:rsid w:val="00F4179C"/>
    <w:rsid w:val="00F47461"/>
    <w:rsid w:val="00F6426F"/>
    <w:rsid w:val="00F67AE6"/>
    <w:rsid w:val="00FA4682"/>
    <w:rsid w:val="00FC4913"/>
    <w:rsid w:val="00FC7B59"/>
    <w:rsid w:val="00FD5F17"/>
    <w:rsid w:val="00FD6BF1"/>
    <w:rsid w:val="00FF032D"/>
    <w:rsid w:val="00FF5752"/>
    <w:rsid w:val="17B00187"/>
    <w:rsid w:val="17F81242"/>
    <w:rsid w:val="1C2E54AD"/>
    <w:rsid w:val="1E72C203"/>
    <w:rsid w:val="21ED64D0"/>
    <w:rsid w:val="23ECE3C3"/>
    <w:rsid w:val="25AF111A"/>
    <w:rsid w:val="27B1C1A6"/>
    <w:rsid w:val="29D5D362"/>
    <w:rsid w:val="38FCD312"/>
    <w:rsid w:val="3D09FF86"/>
    <w:rsid w:val="3EF5578A"/>
    <w:rsid w:val="44D3C356"/>
    <w:rsid w:val="5211CA95"/>
    <w:rsid w:val="6B51F1C8"/>
    <w:rsid w:val="6D3EA776"/>
    <w:rsid w:val="78B334D0"/>
    <w:rsid w:val="7FFB13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6FBC316D"/>
  <w14:defaultImageDpi w14:val="32767"/>
  <w15:chartTrackingRefBased/>
  <w15:docId w15:val="{F231F005-C7D5-464D-BCE3-B26C2071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093A24"/>
    <w:pPr>
      <w:keepNext/>
      <w:tabs>
        <w:tab w:val="left" w:pos="547"/>
        <w:tab w:val="left" w:pos="720"/>
        <w:tab w:val="left" w:pos="907"/>
        <w:tab w:val="left" w:pos="1080"/>
        <w:tab w:val="left" w:pos="1195"/>
      </w:tabs>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D00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093A24"/>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789"/>
    <w:pPr>
      <w:tabs>
        <w:tab w:val="center" w:pos="4680"/>
        <w:tab w:val="right" w:pos="9360"/>
      </w:tabs>
    </w:pPr>
  </w:style>
  <w:style w:type="character" w:customStyle="1" w:styleId="HeaderChar">
    <w:name w:val="Header Char"/>
    <w:basedOn w:val="DefaultParagraphFont"/>
    <w:link w:val="Header"/>
    <w:uiPriority w:val="99"/>
    <w:rsid w:val="00813789"/>
  </w:style>
  <w:style w:type="paragraph" w:styleId="Footer">
    <w:name w:val="footer"/>
    <w:basedOn w:val="Normal"/>
    <w:link w:val="FooterChar"/>
    <w:uiPriority w:val="99"/>
    <w:unhideWhenUsed/>
    <w:rsid w:val="00813789"/>
    <w:pPr>
      <w:tabs>
        <w:tab w:val="center" w:pos="4680"/>
        <w:tab w:val="right" w:pos="9360"/>
      </w:tabs>
    </w:pPr>
  </w:style>
  <w:style w:type="character" w:customStyle="1" w:styleId="FooterChar">
    <w:name w:val="Footer Char"/>
    <w:basedOn w:val="DefaultParagraphFont"/>
    <w:link w:val="Footer"/>
    <w:uiPriority w:val="99"/>
    <w:rsid w:val="00813789"/>
  </w:style>
  <w:style w:type="character" w:customStyle="1" w:styleId="Heading1Char">
    <w:name w:val="Heading 1 Char"/>
    <w:basedOn w:val="DefaultParagraphFont"/>
    <w:link w:val="Heading1"/>
    <w:rsid w:val="00093A24"/>
    <w:rPr>
      <w:rFonts w:ascii="Arial" w:eastAsia="Times New Roman" w:hAnsi="Arial" w:cs="Arial"/>
      <w:b/>
      <w:bCs/>
      <w:kern w:val="32"/>
      <w:sz w:val="32"/>
      <w:szCs w:val="32"/>
    </w:rPr>
  </w:style>
  <w:style w:type="character" w:customStyle="1" w:styleId="Heading3Char">
    <w:name w:val="Heading 3 Char"/>
    <w:basedOn w:val="DefaultParagraphFont"/>
    <w:link w:val="Heading3"/>
    <w:rsid w:val="00093A24"/>
    <w:rPr>
      <w:rFonts w:ascii="Arial" w:eastAsia="Times New Roman" w:hAnsi="Arial" w:cs="Arial"/>
      <w:b/>
      <w:bCs/>
      <w:sz w:val="26"/>
      <w:szCs w:val="26"/>
    </w:rPr>
  </w:style>
  <w:style w:type="paragraph" w:customStyle="1" w:styleId="Default">
    <w:name w:val="Default"/>
    <w:rsid w:val="00C74686"/>
    <w:pPr>
      <w:autoSpaceDE w:val="0"/>
      <w:autoSpaceDN w:val="0"/>
      <w:adjustRightInd w:val="0"/>
    </w:pPr>
    <w:rPr>
      <w:rFonts w:ascii="Times New Roman" w:hAnsi="Times New Roman" w:cs="Times New Roman"/>
      <w:color w:val="000000"/>
    </w:rPr>
  </w:style>
  <w:style w:type="paragraph" w:customStyle="1" w:styleId="xmsonormal">
    <w:name w:val="x_msonormal"/>
    <w:basedOn w:val="Normal"/>
    <w:rsid w:val="0037649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D5E8F"/>
    <w:rPr>
      <w:color w:val="0000FF"/>
      <w:u w:val="single"/>
    </w:rPr>
  </w:style>
  <w:style w:type="character" w:customStyle="1" w:styleId="Heading2Char">
    <w:name w:val="Heading 2 Char"/>
    <w:basedOn w:val="DefaultParagraphFont"/>
    <w:link w:val="Heading2"/>
    <w:uiPriority w:val="9"/>
    <w:semiHidden/>
    <w:rsid w:val="00D00E1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qFormat/>
    <w:rsid w:val="00D00E17"/>
    <w:pPr>
      <w:spacing w:before="120" w:after="40"/>
    </w:pPr>
    <w:rPr>
      <w:rFonts w:asciiTheme="majorHAnsi" w:eastAsiaTheme="majorEastAsia" w:hAnsiTheme="majorHAnsi" w:cstheme="majorBidi"/>
      <w:color w:val="ED7D31" w:themeColor="accent2"/>
      <w:sz w:val="50"/>
      <w:szCs w:val="50"/>
      <w:lang w:eastAsia="ja-JP"/>
    </w:rPr>
  </w:style>
  <w:style w:type="character" w:customStyle="1" w:styleId="TitleChar">
    <w:name w:val="Title Char"/>
    <w:basedOn w:val="DefaultParagraphFont"/>
    <w:link w:val="Title"/>
    <w:rsid w:val="00D00E17"/>
    <w:rPr>
      <w:rFonts w:asciiTheme="majorHAnsi" w:eastAsiaTheme="majorEastAsia" w:hAnsiTheme="majorHAnsi" w:cstheme="majorBidi"/>
      <w:color w:val="ED7D31" w:themeColor="accent2"/>
      <w:sz w:val="50"/>
      <w:szCs w:val="50"/>
      <w:lang w:eastAsia="ja-JP"/>
    </w:rPr>
  </w:style>
  <w:style w:type="paragraph" w:styleId="Subtitle">
    <w:name w:val="Subtitle"/>
    <w:basedOn w:val="Normal"/>
    <w:next w:val="Normal"/>
    <w:link w:val="SubtitleChar"/>
    <w:unhideWhenUsed/>
    <w:qFormat/>
    <w:rsid w:val="00D00E17"/>
    <w:pPr>
      <w:keepNext/>
      <w:keepLines/>
      <w:numPr>
        <w:ilvl w:val="1"/>
      </w:numPr>
      <w:pBdr>
        <w:top w:val="single" w:sz="4" w:space="1" w:color="A5A5A5" w:themeColor="accent3"/>
      </w:pBdr>
      <w:spacing w:before="360" w:after="160"/>
      <w:ind w:left="72"/>
    </w:pPr>
    <w:rPr>
      <w:rFonts w:asciiTheme="majorHAnsi" w:eastAsiaTheme="majorEastAsia" w:hAnsiTheme="majorHAnsi" w:cstheme="majorBidi"/>
      <w:color w:val="ED7D31" w:themeColor="accent2"/>
      <w:spacing w:val="15"/>
      <w:sz w:val="21"/>
      <w:szCs w:val="21"/>
      <w:lang w:eastAsia="ja-JP"/>
    </w:rPr>
  </w:style>
  <w:style w:type="character" w:customStyle="1" w:styleId="SubtitleChar">
    <w:name w:val="Subtitle Char"/>
    <w:basedOn w:val="DefaultParagraphFont"/>
    <w:link w:val="Subtitle"/>
    <w:rsid w:val="00D00E17"/>
    <w:rPr>
      <w:rFonts w:asciiTheme="majorHAnsi" w:eastAsiaTheme="majorEastAsia" w:hAnsiTheme="majorHAnsi" w:cstheme="majorBidi"/>
      <w:color w:val="ED7D31" w:themeColor="accent2"/>
      <w:spacing w:val="15"/>
      <w:sz w:val="21"/>
      <w:szCs w:val="21"/>
      <w:lang w:eastAsia="ja-JP"/>
    </w:rPr>
  </w:style>
  <w:style w:type="character" w:styleId="SubtleEmphasis">
    <w:name w:val="Subtle Emphasis"/>
    <w:basedOn w:val="DefaultParagraphFont"/>
    <w:unhideWhenUsed/>
    <w:qFormat/>
    <w:rsid w:val="00D00E17"/>
    <w:rPr>
      <w:i/>
      <w:iCs/>
      <w:color w:val="auto"/>
    </w:rPr>
  </w:style>
  <w:style w:type="table" w:styleId="GridTable2-Accent3">
    <w:name w:val="Grid Table 2 Accent 3"/>
    <w:basedOn w:val="TableNormal"/>
    <w:uiPriority w:val="47"/>
    <w:rsid w:val="002A263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700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05646">
      <w:bodyDiv w:val="1"/>
      <w:marLeft w:val="0"/>
      <w:marRight w:val="0"/>
      <w:marTop w:val="0"/>
      <w:marBottom w:val="0"/>
      <w:divBdr>
        <w:top w:val="none" w:sz="0" w:space="0" w:color="auto"/>
        <w:left w:val="none" w:sz="0" w:space="0" w:color="auto"/>
        <w:bottom w:val="none" w:sz="0" w:space="0" w:color="auto"/>
        <w:right w:val="none" w:sz="0" w:space="0" w:color="auto"/>
      </w:divBdr>
    </w:div>
    <w:div w:id="127093712">
      <w:bodyDiv w:val="1"/>
      <w:marLeft w:val="0"/>
      <w:marRight w:val="0"/>
      <w:marTop w:val="0"/>
      <w:marBottom w:val="0"/>
      <w:divBdr>
        <w:top w:val="none" w:sz="0" w:space="0" w:color="auto"/>
        <w:left w:val="none" w:sz="0" w:space="0" w:color="auto"/>
        <w:bottom w:val="none" w:sz="0" w:space="0" w:color="auto"/>
        <w:right w:val="none" w:sz="0" w:space="0" w:color="auto"/>
      </w:divBdr>
    </w:div>
    <w:div w:id="204566250">
      <w:bodyDiv w:val="1"/>
      <w:marLeft w:val="0"/>
      <w:marRight w:val="0"/>
      <w:marTop w:val="0"/>
      <w:marBottom w:val="0"/>
      <w:divBdr>
        <w:top w:val="none" w:sz="0" w:space="0" w:color="auto"/>
        <w:left w:val="none" w:sz="0" w:space="0" w:color="auto"/>
        <w:bottom w:val="none" w:sz="0" w:space="0" w:color="auto"/>
        <w:right w:val="none" w:sz="0" w:space="0" w:color="auto"/>
      </w:divBdr>
    </w:div>
    <w:div w:id="531457996">
      <w:bodyDiv w:val="1"/>
      <w:marLeft w:val="0"/>
      <w:marRight w:val="0"/>
      <w:marTop w:val="0"/>
      <w:marBottom w:val="0"/>
      <w:divBdr>
        <w:top w:val="none" w:sz="0" w:space="0" w:color="auto"/>
        <w:left w:val="none" w:sz="0" w:space="0" w:color="auto"/>
        <w:bottom w:val="none" w:sz="0" w:space="0" w:color="auto"/>
        <w:right w:val="none" w:sz="0" w:space="0" w:color="auto"/>
      </w:divBdr>
    </w:div>
    <w:div w:id="602301634">
      <w:bodyDiv w:val="1"/>
      <w:marLeft w:val="0"/>
      <w:marRight w:val="0"/>
      <w:marTop w:val="0"/>
      <w:marBottom w:val="0"/>
      <w:divBdr>
        <w:top w:val="none" w:sz="0" w:space="0" w:color="auto"/>
        <w:left w:val="none" w:sz="0" w:space="0" w:color="auto"/>
        <w:bottom w:val="none" w:sz="0" w:space="0" w:color="auto"/>
        <w:right w:val="none" w:sz="0" w:space="0" w:color="auto"/>
      </w:divBdr>
    </w:div>
    <w:div w:id="605163870">
      <w:bodyDiv w:val="1"/>
      <w:marLeft w:val="0"/>
      <w:marRight w:val="0"/>
      <w:marTop w:val="0"/>
      <w:marBottom w:val="0"/>
      <w:divBdr>
        <w:top w:val="none" w:sz="0" w:space="0" w:color="auto"/>
        <w:left w:val="none" w:sz="0" w:space="0" w:color="auto"/>
        <w:bottom w:val="none" w:sz="0" w:space="0" w:color="auto"/>
        <w:right w:val="none" w:sz="0" w:space="0" w:color="auto"/>
      </w:divBdr>
    </w:div>
    <w:div w:id="692923251">
      <w:bodyDiv w:val="1"/>
      <w:marLeft w:val="0"/>
      <w:marRight w:val="0"/>
      <w:marTop w:val="0"/>
      <w:marBottom w:val="0"/>
      <w:divBdr>
        <w:top w:val="none" w:sz="0" w:space="0" w:color="auto"/>
        <w:left w:val="none" w:sz="0" w:space="0" w:color="auto"/>
        <w:bottom w:val="none" w:sz="0" w:space="0" w:color="auto"/>
        <w:right w:val="none" w:sz="0" w:space="0" w:color="auto"/>
      </w:divBdr>
    </w:div>
    <w:div w:id="788399597">
      <w:bodyDiv w:val="1"/>
      <w:marLeft w:val="0"/>
      <w:marRight w:val="0"/>
      <w:marTop w:val="0"/>
      <w:marBottom w:val="0"/>
      <w:divBdr>
        <w:top w:val="none" w:sz="0" w:space="0" w:color="auto"/>
        <w:left w:val="none" w:sz="0" w:space="0" w:color="auto"/>
        <w:bottom w:val="none" w:sz="0" w:space="0" w:color="auto"/>
        <w:right w:val="none" w:sz="0" w:space="0" w:color="auto"/>
      </w:divBdr>
    </w:div>
    <w:div w:id="916521575">
      <w:bodyDiv w:val="1"/>
      <w:marLeft w:val="0"/>
      <w:marRight w:val="0"/>
      <w:marTop w:val="0"/>
      <w:marBottom w:val="0"/>
      <w:divBdr>
        <w:top w:val="none" w:sz="0" w:space="0" w:color="auto"/>
        <w:left w:val="none" w:sz="0" w:space="0" w:color="auto"/>
        <w:bottom w:val="none" w:sz="0" w:space="0" w:color="auto"/>
        <w:right w:val="none" w:sz="0" w:space="0" w:color="auto"/>
      </w:divBdr>
    </w:div>
    <w:div w:id="993488067">
      <w:bodyDiv w:val="1"/>
      <w:marLeft w:val="0"/>
      <w:marRight w:val="0"/>
      <w:marTop w:val="0"/>
      <w:marBottom w:val="0"/>
      <w:divBdr>
        <w:top w:val="none" w:sz="0" w:space="0" w:color="auto"/>
        <w:left w:val="none" w:sz="0" w:space="0" w:color="auto"/>
        <w:bottom w:val="none" w:sz="0" w:space="0" w:color="auto"/>
        <w:right w:val="none" w:sz="0" w:space="0" w:color="auto"/>
      </w:divBdr>
    </w:div>
    <w:div w:id="1052727341">
      <w:bodyDiv w:val="1"/>
      <w:marLeft w:val="0"/>
      <w:marRight w:val="0"/>
      <w:marTop w:val="0"/>
      <w:marBottom w:val="0"/>
      <w:divBdr>
        <w:top w:val="none" w:sz="0" w:space="0" w:color="auto"/>
        <w:left w:val="none" w:sz="0" w:space="0" w:color="auto"/>
        <w:bottom w:val="none" w:sz="0" w:space="0" w:color="auto"/>
        <w:right w:val="none" w:sz="0" w:space="0" w:color="auto"/>
      </w:divBdr>
    </w:div>
    <w:div w:id="1052730411">
      <w:bodyDiv w:val="1"/>
      <w:marLeft w:val="0"/>
      <w:marRight w:val="0"/>
      <w:marTop w:val="0"/>
      <w:marBottom w:val="0"/>
      <w:divBdr>
        <w:top w:val="none" w:sz="0" w:space="0" w:color="auto"/>
        <w:left w:val="none" w:sz="0" w:space="0" w:color="auto"/>
        <w:bottom w:val="none" w:sz="0" w:space="0" w:color="auto"/>
        <w:right w:val="none" w:sz="0" w:space="0" w:color="auto"/>
      </w:divBdr>
    </w:div>
    <w:div w:id="1254247373">
      <w:bodyDiv w:val="1"/>
      <w:marLeft w:val="0"/>
      <w:marRight w:val="0"/>
      <w:marTop w:val="0"/>
      <w:marBottom w:val="0"/>
      <w:divBdr>
        <w:top w:val="none" w:sz="0" w:space="0" w:color="auto"/>
        <w:left w:val="none" w:sz="0" w:space="0" w:color="auto"/>
        <w:bottom w:val="none" w:sz="0" w:space="0" w:color="auto"/>
        <w:right w:val="none" w:sz="0" w:space="0" w:color="auto"/>
      </w:divBdr>
    </w:div>
    <w:div w:id="1258901488">
      <w:bodyDiv w:val="1"/>
      <w:marLeft w:val="0"/>
      <w:marRight w:val="0"/>
      <w:marTop w:val="0"/>
      <w:marBottom w:val="0"/>
      <w:divBdr>
        <w:top w:val="none" w:sz="0" w:space="0" w:color="auto"/>
        <w:left w:val="none" w:sz="0" w:space="0" w:color="auto"/>
        <w:bottom w:val="none" w:sz="0" w:space="0" w:color="auto"/>
        <w:right w:val="none" w:sz="0" w:space="0" w:color="auto"/>
      </w:divBdr>
    </w:div>
    <w:div w:id="1281836760">
      <w:bodyDiv w:val="1"/>
      <w:marLeft w:val="0"/>
      <w:marRight w:val="0"/>
      <w:marTop w:val="0"/>
      <w:marBottom w:val="0"/>
      <w:divBdr>
        <w:top w:val="none" w:sz="0" w:space="0" w:color="auto"/>
        <w:left w:val="none" w:sz="0" w:space="0" w:color="auto"/>
        <w:bottom w:val="none" w:sz="0" w:space="0" w:color="auto"/>
        <w:right w:val="none" w:sz="0" w:space="0" w:color="auto"/>
      </w:divBdr>
    </w:div>
    <w:div w:id="1289239570">
      <w:bodyDiv w:val="1"/>
      <w:marLeft w:val="0"/>
      <w:marRight w:val="0"/>
      <w:marTop w:val="0"/>
      <w:marBottom w:val="0"/>
      <w:divBdr>
        <w:top w:val="none" w:sz="0" w:space="0" w:color="auto"/>
        <w:left w:val="none" w:sz="0" w:space="0" w:color="auto"/>
        <w:bottom w:val="none" w:sz="0" w:space="0" w:color="auto"/>
        <w:right w:val="none" w:sz="0" w:space="0" w:color="auto"/>
      </w:divBdr>
    </w:div>
    <w:div w:id="1298611150">
      <w:bodyDiv w:val="1"/>
      <w:marLeft w:val="0"/>
      <w:marRight w:val="0"/>
      <w:marTop w:val="0"/>
      <w:marBottom w:val="0"/>
      <w:divBdr>
        <w:top w:val="none" w:sz="0" w:space="0" w:color="auto"/>
        <w:left w:val="none" w:sz="0" w:space="0" w:color="auto"/>
        <w:bottom w:val="none" w:sz="0" w:space="0" w:color="auto"/>
        <w:right w:val="none" w:sz="0" w:space="0" w:color="auto"/>
      </w:divBdr>
    </w:div>
    <w:div w:id="1345323885">
      <w:bodyDiv w:val="1"/>
      <w:marLeft w:val="0"/>
      <w:marRight w:val="0"/>
      <w:marTop w:val="0"/>
      <w:marBottom w:val="0"/>
      <w:divBdr>
        <w:top w:val="none" w:sz="0" w:space="0" w:color="auto"/>
        <w:left w:val="none" w:sz="0" w:space="0" w:color="auto"/>
        <w:bottom w:val="none" w:sz="0" w:space="0" w:color="auto"/>
        <w:right w:val="none" w:sz="0" w:space="0" w:color="auto"/>
      </w:divBdr>
    </w:div>
    <w:div w:id="1356928400">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21440282">
      <w:bodyDiv w:val="1"/>
      <w:marLeft w:val="0"/>
      <w:marRight w:val="0"/>
      <w:marTop w:val="0"/>
      <w:marBottom w:val="0"/>
      <w:divBdr>
        <w:top w:val="none" w:sz="0" w:space="0" w:color="auto"/>
        <w:left w:val="none" w:sz="0" w:space="0" w:color="auto"/>
        <w:bottom w:val="none" w:sz="0" w:space="0" w:color="auto"/>
        <w:right w:val="none" w:sz="0" w:space="0" w:color="auto"/>
      </w:divBdr>
    </w:div>
    <w:div w:id="1672828142">
      <w:bodyDiv w:val="1"/>
      <w:marLeft w:val="0"/>
      <w:marRight w:val="0"/>
      <w:marTop w:val="0"/>
      <w:marBottom w:val="0"/>
      <w:divBdr>
        <w:top w:val="none" w:sz="0" w:space="0" w:color="auto"/>
        <w:left w:val="none" w:sz="0" w:space="0" w:color="auto"/>
        <w:bottom w:val="none" w:sz="0" w:space="0" w:color="auto"/>
        <w:right w:val="none" w:sz="0" w:space="0" w:color="auto"/>
      </w:divBdr>
    </w:div>
    <w:div w:id="1815753804">
      <w:bodyDiv w:val="1"/>
      <w:marLeft w:val="0"/>
      <w:marRight w:val="0"/>
      <w:marTop w:val="0"/>
      <w:marBottom w:val="0"/>
      <w:divBdr>
        <w:top w:val="none" w:sz="0" w:space="0" w:color="auto"/>
        <w:left w:val="none" w:sz="0" w:space="0" w:color="auto"/>
        <w:bottom w:val="none" w:sz="0" w:space="0" w:color="auto"/>
        <w:right w:val="none" w:sz="0" w:space="0" w:color="auto"/>
      </w:divBdr>
    </w:div>
    <w:div w:id="1914200524">
      <w:bodyDiv w:val="1"/>
      <w:marLeft w:val="0"/>
      <w:marRight w:val="0"/>
      <w:marTop w:val="0"/>
      <w:marBottom w:val="0"/>
      <w:divBdr>
        <w:top w:val="none" w:sz="0" w:space="0" w:color="auto"/>
        <w:left w:val="none" w:sz="0" w:space="0" w:color="auto"/>
        <w:bottom w:val="none" w:sz="0" w:space="0" w:color="auto"/>
        <w:right w:val="none" w:sz="0" w:space="0" w:color="auto"/>
      </w:divBdr>
    </w:div>
    <w:div w:id="1963413779">
      <w:bodyDiv w:val="1"/>
      <w:marLeft w:val="0"/>
      <w:marRight w:val="0"/>
      <w:marTop w:val="0"/>
      <w:marBottom w:val="0"/>
      <w:divBdr>
        <w:top w:val="none" w:sz="0" w:space="0" w:color="auto"/>
        <w:left w:val="none" w:sz="0" w:space="0" w:color="auto"/>
        <w:bottom w:val="none" w:sz="0" w:space="0" w:color="auto"/>
        <w:right w:val="none" w:sz="0" w:space="0" w:color="auto"/>
      </w:divBdr>
    </w:div>
    <w:div w:id="2012220885">
      <w:bodyDiv w:val="1"/>
      <w:marLeft w:val="0"/>
      <w:marRight w:val="0"/>
      <w:marTop w:val="0"/>
      <w:marBottom w:val="0"/>
      <w:divBdr>
        <w:top w:val="none" w:sz="0" w:space="0" w:color="auto"/>
        <w:left w:val="none" w:sz="0" w:space="0" w:color="auto"/>
        <w:bottom w:val="none" w:sz="0" w:space="0" w:color="auto"/>
        <w:right w:val="none" w:sz="0" w:space="0" w:color="auto"/>
      </w:divBdr>
    </w:div>
    <w:div w:id="2086098970">
      <w:bodyDiv w:val="1"/>
      <w:marLeft w:val="0"/>
      <w:marRight w:val="0"/>
      <w:marTop w:val="0"/>
      <w:marBottom w:val="0"/>
      <w:divBdr>
        <w:top w:val="none" w:sz="0" w:space="0" w:color="auto"/>
        <w:left w:val="none" w:sz="0" w:space="0" w:color="auto"/>
        <w:bottom w:val="none" w:sz="0" w:space="0" w:color="auto"/>
        <w:right w:val="none" w:sz="0" w:space="0" w:color="auto"/>
      </w:divBdr>
    </w:div>
    <w:div w:id="2125423325">
      <w:bodyDiv w:val="1"/>
      <w:marLeft w:val="0"/>
      <w:marRight w:val="0"/>
      <w:marTop w:val="0"/>
      <w:marBottom w:val="0"/>
      <w:divBdr>
        <w:top w:val="none" w:sz="0" w:space="0" w:color="auto"/>
        <w:left w:val="none" w:sz="0" w:space="0" w:color="auto"/>
        <w:bottom w:val="none" w:sz="0" w:space="0" w:color="auto"/>
        <w:right w:val="none" w:sz="0" w:space="0" w:color="auto"/>
      </w:divBdr>
    </w:div>
    <w:div w:id="212915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0509479DB62C4DAEF3B9E34942A7F2" ma:contentTypeVersion="18" ma:contentTypeDescription="Create a new document." ma:contentTypeScope="" ma:versionID="d5f054323e48a1c884bfa3f9103b07e7">
  <xsd:schema xmlns:xsd="http://www.w3.org/2001/XMLSchema" xmlns:xs="http://www.w3.org/2001/XMLSchema" xmlns:p="http://schemas.microsoft.com/office/2006/metadata/properties" xmlns:ns2="f1094e53-c13b-4c53-aad2-614b7b6eab3e" xmlns:ns3="47f5edce-a01f-4828-ae0c-3185981bb7f0" targetNamespace="http://schemas.microsoft.com/office/2006/metadata/properties" ma:root="true" ma:fieldsID="0ffb460b09b30008efee122249c43daa" ns2:_="" ns3:_="">
    <xsd:import namespace="f1094e53-c13b-4c53-aad2-614b7b6eab3e"/>
    <xsd:import namespace="47f5edce-a01f-4828-ae0c-3185981bb7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_Flow_SignoffStatus" minOccurs="0"/>
                <xsd:element ref="ns2:MediaServiceSearchProperties" minOccurs="0"/>
                <xsd:element ref="ns2:Date"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94e53-c13b-4c53-aad2-614b7b6eab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d9ca7-6e42-4591-ac86-6756dbb977a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Date" ma:index="23" nillable="true" ma:displayName="Date" ma:format="DateTime" ma:internalName="Date">
      <xsd:simpleType>
        <xsd:restriction base="dms:DateTime"/>
      </xsd:simpleType>
    </xsd:element>
    <xsd:element name="MediaServiceLocation" ma:index="24" nillable="true" ma:displayName="Location" ma:indexed="true" ma:internalName="MediaServiceLocation" ma:readOnly="true">
      <xsd:simpleType>
        <xsd:restriction base="dms:Text"/>
      </xsd:simpleType>
    </xsd:element>
    <xsd:element name="MediaServiceBillingMetadata" ma:index="25"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f5edce-a01f-4828-ae0c-3185981bb7f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e58f077-420e-4388-a8ec-e025baf7f79f}" ma:internalName="TaxCatchAll" ma:showField="CatchAllData" ma:web="47f5edce-a01f-4828-ae0c-3185981bb7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1094e53-c13b-4c53-aad2-614b7b6eab3e">
      <Terms xmlns="http://schemas.microsoft.com/office/infopath/2007/PartnerControls"/>
    </lcf76f155ced4ddcb4097134ff3c332f>
    <TaxCatchAll xmlns="47f5edce-a01f-4828-ae0c-3185981bb7f0" xsi:nil="true"/>
    <_Flow_SignoffStatus xmlns="f1094e53-c13b-4c53-aad2-614b7b6eab3e" xsi:nil="true"/>
    <Date xmlns="f1094e53-c13b-4c53-aad2-614b7b6eab3e" xsi:nil="true"/>
  </documentManagement>
</p:properties>
</file>

<file path=customXml/itemProps1.xml><?xml version="1.0" encoding="utf-8"?>
<ds:datastoreItem xmlns:ds="http://schemas.openxmlformats.org/officeDocument/2006/customXml" ds:itemID="{4748C00C-67A3-4533-8B8B-F73B5D9AB4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94e53-c13b-4c53-aad2-614b7b6eab3e"/>
    <ds:schemaRef ds:uri="47f5edce-a01f-4828-ae0c-3185981bb7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F75E7F-D471-4E80-AFDD-A4339D4063F7}">
  <ds:schemaRefs>
    <ds:schemaRef ds:uri="http://schemas.microsoft.com/sharepoint/v3/contenttype/forms"/>
  </ds:schemaRefs>
</ds:datastoreItem>
</file>

<file path=customXml/itemProps3.xml><?xml version="1.0" encoding="utf-8"?>
<ds:datastoreItem xmlns:ds="http://schemas.openxmlformats.org/officeDocument/2006/customXml" ds:itemID="{BC46306A-0403-4037-869E-273D4C03F1C6}">
  <ds:schemaRefs>
    <ds:schemaRef ds:uri="http://schemas.microsoft.com/office/2006/metadata/properties"/>
    <ds:schemaRef ds:uri="http://schemas.microsoft.com/office/infopath/2007/PartnerControls"/>
    <ds:schemaRef ds:uri="f1094e53-c13b-4c53-aad2-614b7b6eab3e"/>
    <ds:schemaRef ds:uri="47f5edce-a01f-4828-ae0c-3185981bb7f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4800</Words>
  <Characters>27365</Characters>
  <Application>Microsoft Office Word</Application>
  <DocSecurity>0</DocSecurity>
  <Lines>228</Lines>
  <Paragraphs>64</Paragraphs>
  <ScaleCrop>false</ScaleCrop>
  <Company/>
  <LinksUpToDate>false</LinksUpToDate>
  <CharactersWithSpaces>32101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Skope</dc:creator>
  <cp:keywords/>
  <dc:description/>
  <cp:lastModifiedBy>Jonathan Amaya-Hodges</cp:lastModifiedBy>
  <cp:revision>103</cp:revision>
  <dcterms:created xsi:type="dcterms:W3CDTF">2025-08-06T16:17:00Z</dcterms:created>
  <dcterms:modified xsi:type="dcterms:W3CDTF">2025-08-29T18:15:00Z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0x010100FD0509479DB62C4DAEF3B9E34942A7F2</vt:lpwstr>
  </property>
  <property fmtid="{D5CDD505-2E9C-101B-9397-08002B2CF9AE}" pid="3" name="MediaServiceImageTags">
    <vt:lpwstr/>
  </property>
</Properties>
</file>