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pPr>
        <w:spacing w:after="160"/>
        <w:jc w:val="center"/>
      </w:pPr>
      <w:r>
        <w:rPr>
          <w:rFonts w:ascii="Arial" w:hAnsi="Arial"/>
          <w:b/>
          <w:sz w:val="30"/>
        </w:rPr>
        <w:t>CONTROL OF DOCUMENTED INFORMATION</w:t>
      </w:r>
    </w:p>
    <w:tbl>
      <w:tblPr>
        <w:tblStyle w:val="TableGrid"/>
        <w:tblW w:type="auto" w:w="0"/>
        <w:jc w:val="center"/>
        <w:tblLook w:firstColumn="1" w:firstRow="1" w:lastColumn="0" w:lastRow="0" w:noHBand="0" w:noVBand="1" w:val="04A0"/>
      </w:tblPr>
      <w:tblGrid>
        <w:gridCol w:w="5112"/>
        <w:gridCol w:w="5112"/>
      </w:tblGrid>
      <w:tr>
        <w:tc>
          <w:tcPr>
            <w:tcW w:type="dxa" w:w="5112"/>
            <w:shd w:fill="E7E6E6"/>
            <w:tcMar>
              <w:top w:w="90" w:type="dxa"/>
              <w:start w:w="100" w:type="dxa"/>
              <w:bottom w:w="90" w:type="dxa"/>
              <w:end w:w="100" w:type="dxa"/>
            </w:tcMar>
            <w:vAlign w:val="center"/>
          </w:tcPr>
          <w:p>
            <w:pPr>
              <w:spacing w:after="0"/>
            </w:pPr>
            <w:r>
              <w:rPr>
                <w:rFonts w:ascii="Aptos" w:hAnsi="Aptos"/>
                <w:b/>
                <w:sz w:val="18"/>
              </w:rPr>
              <w:t>Document Title</w:t>
            </w:r>
          </w:p>
        </w:tc>
        <w:tc>
          <w:tcPr>
            <w:tcW w:type="dxa" w:w="5112"/>
            <w:tcMar>
              <w:top w:w="90" w:type="dxa"/>
              <w:start w:w="100" w:type="dxa"/>
              <w:bottom w:w="90" w:type="dxa"/>
              <w:end w:w="100" w:type="dxa"/>
            </w:tcMar>
            <w:vAlign w:val="center"/>
          </w:tcPr>
          <w:p>
            <w:pPr>
              <w:spacing w:after="0"/>
            </w:pPr>
            <w:r>
              <w:rPr>
                <w:rFonts w:ascii="Aptos" w:hAnsi="Aptos"/>
                <w:sz w:val="18"/>
              </w:rPr>
              <w:t>Control of Documented Information Policy</w:t>
            </w:r>
          </w:p>
        </w:tc>
      </w:tr>
      <w:tr>
        <w:tc>
          <w:tcPr>
            <w:tcW w:type="dxa" w:w="5112"/>
            <w:shd w:fill="E7E6E6"/>
            <w:tcMar>
              <w:top w:w="90" w:type="dxa"/>
              <w:start w:w="100" w:type="dxa"/>
              <w:bottom w:w="90" w:type="dxa"/>
              <w:end w:w="100" w:type="dxa"/>
            </w:tcMar>
            <w:vAlign w:val="center"/>
          </w:tcPr>
          <w:p>
            <w:pPr>
              <w:spacing w:after="0"/>
            </w:pPr>
            <w:r>
              <w:rPr>
                <w:rFonts w:ascii="Aptos" w:hAnsi="Aptos"/>
                <w:b/>
                <w:sz w:val="18"/>
              </w:rPr>
              <w:t>Document Code</w:t>
            </w:r>
          </w:p>
        </w:tc>
        <w:tc>
          <w:tcPr>
            <w:tcW w:type="dxa" w:w="5112"/>
            <w:tcMar>
              <w:top w:w="90" w:type="dxa"/>
              <w:start w:w="100" w:type="dxa"/>
              <w:bottom w:w="90" w:type="dxa"/>
              <w:end w:w="100" w:type="dxa"/>
            </w:tcMar>
            <w:vAlign w:val="center"/>
          </w:tcPr>
          <w:p>
            <w:pPr>
              <w:spacing w:after="0"/>
            </w:pPr>
            <w:r>
              <w:rPr>
                <w:rFonts w:ascii="Aptos" w:hAnsi="Aptos"/>
                <w:sz w:val="18"/>
              </w:rPr>
              <w:t>DRG-QI-POL-CDI-01-26</w:t>
            </w:r>
          </w:p>
        </w:tc>
      </w:tr>
      <w:tr>
        <w:tc>
          <w:tcPr>
            <w:tcW w:type="dxa" w:w="5112"/>
            <w:shd w:fill="E7E6E6"/>
            <w:tcMar>
              <w:top w:w="90" w:type="dxa"/>
              <w:start w:w="100" w:type="dxa"/>
              <w:bottom w:w="90" w:type="dxa"/>
              <w:end w:w="100" w:type="dxa"/>
            </w:tcMar>
            <w:vAlign w:val="center"/>
          </w:tcPr>
          <w:p>
            <w:pPr>
              <w:spacing w:after="0"/>
            </w:pPr>
            <w:r>
              <w:rPr>
                <w:rFonts w:ascii="Aptos" w:hAnsi="Aptos"/>
                <w:b/>
                <w:sz w:val="18"/>
              </w:rPr>
              <w:t>Document Type / Layer</w:t>
            </w:r>
          </w:p>
        </w:tc>
        <w:tc>
          <w:tcPr>
            <w:tcW w:type="dxa" w:w="5112"/>
            <w:tcMar>
              <w:top w:w="90" w:type="dxa"/>
              <w:start w:w="100" w:type="dxa"/>
              <w:bottom w:w="90" w:type="dxa"/>
              <w:end w:w="100" w:type="dxa"/>
            </w:tcMar>
            <w:vAlign w:val="center"/>
          </w:tcPr>
          <w:p>
            <w:pPr>
              <w:spacing w:after="0"/>
            </w:pPr>
            <w:r>
              <w:rPr>
                <w:rFonts w:ascii="Aptos" w:hAnsi="Aptos"/>
                <w:sz w:val="18"/>
              </w:rPr>
              <w:t>Domain Policy (Layer 2)</w:t>
            </w:r>
          </w:p>
        </w:tc>
      </w:tr>
      <w:tr>
        <w:tc>
          <w:tcPr>
            <w:tcW w:type="dxa" w:w="5112"/>
            <w:shd w:fill="E7E6E6"/>
            <w:tcMar>
              <w:top w:w="90" w:type="dxa"/>
              <w:start w:w="100" w:type="dxa"/>
              <w:bottom w:w="90" w:type="dxa"/>
              <w:end w:w="100" w:type="dxa"/>
            </w:tcMar>
            <w:vAlign w:val="center"/>
          </w:tcPr>
          <w:p>
            <w:pPr>
              <w:spacing w:after="0"/>
            </w:pPr>
            <w:r>
              <w:rPr>
                <w:rFonts w:ascii="Aptos" w:hAnsi="Aptos"/>
                <w:b/>
                <w:sz w:val="18"/>
              </w:rPr>
              <w:t>Domain</w:t>
            </w:r>
          </w:p>
        </w:tc>
        <w:tc>
          <w:tcPr>
            <w:tcW w:type="dxa" w:w="5112"/>
            <w:tcMar>
              <w:top w:w="90" w:type="dxa"/>
              <w:start w:w="100" w:type="dxa"/>
              <w:bottom w:w="90" w:type="dxa"/>
              <w:end w:w="100" w:type="dxa"/>
            </w:tcMar>
            <w:vAlign w:val="center"/>
          </w:tcPr>
          <w:p>
            <w:pPr>
              <w:spacing w:after="0"/>
            </w:pPr>
            <w:r>
              <w:rPr>
                <w:rFonts w:ascii="Aptos" w:hAnsi="Aptos"/>
                <w:sz w:val="18"/>
              </w:rPr>
              <w:t>Quality &amp; Compliance</w:t>
            </w:r>
          </w:p>
        </w:tc>
      </w:tr>
      <w:tr>
        <w:tc>
          <w:tcPr>
            <w:tcW w:type="dxa" w:w="5112"/>
            <w:shd w:fill="E7E6E6"/>
            <w:tcMar>
              <w:top w:w="90" w:type="dxa"/>
              <w:start w:w="100" w:type="dxa"/>
              <w:bottom w:w="90" w:type="dxa"/>
              <w:end w:w="100" w:type="dxa"/>
            </w:tcMar>
            <w:vAlign w:val="center"/>
          </w:tcPr>
          <w:p>
            <w:pPr>
              <w:spacing w:after="0"/>
            </w:pPr>
            <w:r>
              <w:rPr>
                <w:rFonts w:ascii="Aptos" w:hAnsi="Aptos"/>
                <w:b/>
                <w:sz w:val="18"/>
              </w:rPr>
              <w:t>Parent Document</w:t>
            </w:r>
          </w:p>
        </w:tc>
        <w:tc>
          <w:tcPr>
            <w:tcW w:type="dxa" w:w="5112"/>
            <w:tcMar>
              <w:top w:w="90" w:type="dxa"/>
              <w:start w:w="100" w:type="dxa"/>
              <w:bottom w:w="90" w:type="dxa"/>
              <w:end w:w="100" w:type="dxa"/>
            </w:tcMar>
            <w:vAlign w:val="center"/>
          </w:tcPr>
          <w:p>
            <w:pPr>
              <w:spacing w:after="0"/>
            </w:pPr>
            <w:r>
              <w:rPr>
                <w:rFonts w:ascii="Aptos" w:hAnsi="Aptos"/>
                <w:sz w:val="18"/>
              </w:rPr>
              <w:t>Master Integrated Management System Policy (Layer 1)</w:t>
            </w:r>
          </w:p>
        </w:tc>
      </w:tr>
      <w:tr>
        <w:tc>
          <w:tcPr>
            <w:tcW w:type="dxa" w:w="5112"/>
            <w:shd w:fill="E7E6E6"/>
            <w:tcMar>
              <w:top w:w="90" w:type="dxa"/>
              <w:start w:w="100" w:type="dxa"/>
              <w:bottom w:w="90" w:type="dxa"/>
              <w:end w:w="100" w:type="dxa"/>
            </w:tcMar>
            <w:vAlign w:val="center"/>
          </w:tcPr>
          <w:p>
            <w:pPr>
              <w:spacing w:after="0"/>
            </w:pPr>
            <w:r>
              <w:rPr>
                <w:rFonts w:ascii="Aptos" w:hAnsi="Aptos"/>
                <w:b/>
                <w:sz w:val="18"/>
              </w:rPr>
              <w:t>Classification</w:t>
            </w:r>
          </w:p>
        </w:tc>
        <w:tc>
          <w:tcPr>
            <w:tcW w:type="dxa" w:w="5112"/>
            <w:tcMar>
              <w:top w:w="90" w:type="dxa"/>
              <w:start w:w="100" w:type="dxa"/>
              <w:bottom w:w="90" w:type="dxa"/>
              <w:end w:w="100" w:type="dxa"/>
            </w:tcMar>
            <w:vAlign w:val="center"/>
          </w:tcPr>
          <w:p>
            <w:pPr>
              <w:spacing w:after="0"/>
            </w:pPr>
            <w:r>
              <w:rPr>
                <w:rFonts w:ascii="Aptos" w:hAnsi="Aptos"/>
                <w:sz w:val="18"/>
              </w:rPr>
              <w:t>Internal use only</w:t>
            </w:r>
          </w:p>
        </w:tc>
      </w:tr>
      <w:tr>
        <w:tc>
          <w:tcPr>
            <w:tcW w:type="dxa" w:w="5112"/>
            <w:shd w:fill="E7E6E6"/>
            <w:tcMar>
              <w:top w:w="90" w:type="dxa"/>
              <w:start w:w="100" w:type="dxa"/>
              <w:bottom w:w="90" w:type="dxa"/>
              <w:end w:w="100" w:type="dxa"/>
            </w:tcMar>
            <w:vAlign w:val="center"/>
          </w:tcPr>
          <w:p>
            <w:pPr>
              <w:spacing w:after="0"/>
            </w:pPr>
            <w:r>
              <w:rPr>
                <w:rFonts w:ascii="Aptos" w:hAnsi="Aptos"/>
                <w:b/>
                <w:sz w:val="18"/>
              </w:rPr>
              <w:t>Distribution</w:t>
            </w:r>
          </w:p>
        </w:tc>
        <w:tc>
          <w:tcPr>
            <w:tcW w:type="dxa" w:w="5112"/>
            <w:tcMar>
              <w:top w:w="90" w:type="dxa"/>
              <w:start w:w="100" w:type="dxa"/>
              <w:bottom w:w="90" w:type="dxa"/>
              <w:end w:w="100" w:type="dxa"/>
            </w:tcMar>
            <w:vAlign w:val="center"/>
          </w:tcPr>
          <w:p>
            <w:pPr>
              <w:spacing w:after="0"/>
            </w:pPr>
            <w:r>
              <w:rPr>
                <w:rFonts w:ascii="Aptos" w:hAnsi="Aptos"/>
                <w:sz w:val="18"/>
              </w:rPr>
              <w:t>All staff</w:t>
            </w:r>
          </w:p>
        </w:tc>
      </w:tr>
      <w:tr>
        <w:tc>
          <w:tcPr>
            <w:tcW w:type="dxa" w:w="5112"/>
            <w:shd w:fill="E7E6E6"/>
            <w:tcMar>
              <w:top w:w="90" w:type="dxa"/>
              <w:start w:w="100" w:type="dxa"/>
              <w:bottom w:w="90" w:type="dxa"/>
              <w:end w:w="100" w:type="dxa"/>
            </w:tcMar>
            <w:vAlign w:val="center"/>
          </w:tcPr>
          <w:p>
            <w:pPr>
              <w:spacing w:after="0"/>
            </w:pPr>
            <w:r>
              <w:rPr>
                <w:rFonts w:ascii="Aptos" w:hAnsi="Aptos"/>
                <w:b/>
                <w:sz w:val="18"/>
              </w:rPr>
              <w:t>Owner</w:t>
            </w:r>
          </w:p>
        </w:tc>
        <w:tc>
          <w:tcPr>
            <w:tcW w:type="dxa" w:w="5112"/>
            <w:tcMar>
              <w:top w:w="90" w:type="dxa"/>
              <w:start w:w="100" w:type="dxa"/>
              <w:bottom w:w="90" w:type="dxa"/>
              <w:end w:w="100" w:type="dxa"/>
            </w:tcMar>
            <w:vAlign w:val="center"/>
          </w:tcPr>
          <w:p>
            <w:pPr>
              <w:spacing w:after="0"/>
            </w:pPr>
            <w:r>
              <w:rPr>
                <w:rFonts w:ascii="Aptos" w:hAnsi="Aptos"/>
                <w:sz w:val="18"/>
              </w:rPr>
              <w:t>Compliance Team</w:t>
            </w:r>
          </w:p>
        </w:tc>
      </w:tr>
      <w:tr>
        <w:tc>
          <w:tcPr>
            <w:tcW w:type="dxa" w:w="5112"/>
            <w:shd w:fill="E7E6E6"/>
            <w:tcMar>
              <w:top w:w="90" w:type="dxa"/>
              <w:start w:w="100" w:type="dxa"/>
              <w:bottom w:w="90" w:type="dxa"/>
              <w:end w:w="100" w:type="dxa"/>
            </w:tcMar>
            <w:vAlign w:val="center"/>
          </w:tcPr>
          <w:p>
            <w:pPr>
              <w:spacing w:after="0"/>
            </w:pPr>
            <w:r>
              <w:rPr>
                <w:rFonts w:ascii="Aptos" w:hAnsi="Aptos"/>
                <w:b/>
                <w:sz w:val="18"/>
              </w:rPr>
              <w:t>First Pass Approval</w:t>
            </w:r>
          </w:p>
        </w:tc>
        <w:tc>
          <w:tcPr>
            <w:tcW w:type="dxa" w:w="5112"/>
            <w:tcMar>
              <w:top w:w="90" w:type="dxa"/>
              <w:start w:w="100" w:type="dxa"/>
              <w:bottom w:w="90" w:type="dxa"/>
              <w:end w:w="100" w:type="dxa"/>
            </w:tcMar>
            <w:vAlign w:val="center"/>
          </w:tcPr>
          <w:p>
            <w:pPr>
              <w:spacing w:after="0"/>
            </w:pPr>
            <w:r>
              <w:rPr>
                <w:rFonts w:ascii="Aptos" w:hAnsi="Aptos"/>
                <w:sz w:val="18"/>
              </w:rPr>
              <w:t>Chief Compliance Officer</w:t>
            </w:r>
          </w:p>
        </w:tc>
      </w:tr>
      <w:tr>
        <w:tc>
          <w:tcPr>
            <w:tcW w:type="dxa" w:w="5112"/>
            <w:shd w:fill="E7E6E6"/>
            <w:tcMar>
              <w:top w:w="90" w:type="dxa"/>
              <w:start w:w="100" w:type="dxa"/>
              <w:bottom w:w="90" w:type="dxa"/>
              <w:end w:w="100" w:type="dxa"/>
            </w:tcMar>
            <w:vAlign w:val="center"/>
          </w:tcPr>
          <w:p>
            <w:pPr>
              <w:spacing w:after="0"/>
            </w:pPr>
            <w:r>
              <w:rPr>
                <w:rFonts w:ascii="Aptos" w:hAnsi="Aptos"/>
                <w:b/>
                <w:sz w:val="18"/>
              </w:rPr>
              <w:t>Final Approval</w:t>
            </w:r>
          </w:p>
        </w:tc>
        <w:tc>
          <w:tcPr>
            <w:tcW w:type="dxa" w:w="5112"/>
            <w:tcMar>
              <w:top w:w="90" w:type="dxa"/>
              <w:start w:w="100" w:type="dxa"/>
              <w:bottom w:w="90" w:type="dxa"/>
              <w:end w:w="100" w:type="dxa"/>
            </w:tcMar>
            <w:vAlign w:val="center"/>
          </w:tcPr>
          <w:p>
            <w:pPr>
              <w:spacing w:after="0"/>
            </w:pPr>
            <w:r>
              <w:rPr>
                <w:rFonts w:ascii="Aptos" w:hAnsi="Aptos"/>
                <w:sz w:val="18"/>
              </w:rPr>
              <w:t>Managing Director / CEO</w:t>
            </w:r>
          </w:p>
        </w:tc>
      </w:tr>
      <w:tr>
        <w:tc>
          <w:tcPr>
            <w:tcW w:type="dxa" w:w="5112"/>
            <w:shd w:fill="E7E6E6"/>
            <w:tcMar>
              <w:top w:w="90" w:type="dxa"/>
              <w:start w:w="100" w:type="dxa"/>
              <w:bottom w:w="90" w:type="dxa"/>
              <w:end w:w="100" w:type="dxa"/>
            </w:tcMar>
            <w:vAlign w:val="center"/>
          </w:tcPr>
          <w:p>
            <w:pPr>
              <w:spacing w:after="0"/>
            </w:pPr>
            <w:r>
              <w:rPr>
                <w:rFonts w:ascii="Aptos" w:hAnsi="Aptos"/>
                <w:b/>
                <w:sz w:val="18"/>
              </w:rPr>
              <w:t>Version</w:t>
            </w:r>
          </w:p>
        </w:tc>
        <w:tc>
          <w:tcPr>
            <w:tcW w:type="dxa" w:w="5112"/>
            <w:tcMar>
              <w:top w:w="90" w:type="dxa"/>
              <w:start w:w="100" w:type="dxa"/>
              <w:bottom w:w="90" w:type="dxa"/>
              <w:end w:w="100" w:type="dxa"/>
            </w:tcMar>
            <w:vAlign w:val="center"/>
          </w:tcPr>
          <w:p>
            <w:pPr>
              <w:spacing w:after="0"/>
            </w:pPr>
            <w:r>
              <w:rPr>
                <w:rFonts w:ascii="Aptos" w:hAnsi="Aptos"/>
                <w:sz w:val="18"/>
              </w:rPr>
              <w:t>Draft</w:t>
            </w:r>
          </w:p>
        </w:tc>
      </w:tr>
      <w:tr>
        <w:tc>
          <w:tcPr>
            <w:tcW w:type="dxa" w:w="5112"/>
            <w:shd w:fill="E7E6E6"/>
            <w:tcMar>
              <w:top w:w="90" w:type="dxa"/>
              <w:start w:w="100" w:type="dxa"/>
              <w:bottom w:w="90" w:type="dxa"/>
              <w:end w:w="100" w:type="dxa"/>
            </w:tcMar>
            <w:vAlign w:val="center"/>
          </w:tcPr>
          <w:p>
            <w:pPr>
              <w:spacing w:after="0"/>
            </w:pPr>
            <w:r>
              <w:rPr>
                <w:rFonts w:ascii="Aptos" w:hAnsi="Aptos"/>
                <w:b/>
                <w:sz w:val="18"/>
              </w:rPr>
              <w:t>Proposed Issue</w:t>
            </w:r>
          </w:p>
        </w:tc>
        <w:tc>
          <w:tcPr>
            <w:tcW w:type="dxa" w:w="5112"/>
            <w:tcMar>
              <w:top w:w="90" w:type="dxa"/>
              <w:start w:w="100" w:type="dxa"/>
              <w:bottom w:w="90" w:type="dxa"/>
              <w:end w:w="100" w:type="dxa"/>
            </w:tcMar>
            <w:vAlign w:val="center"/>
          </w:tcPr>
          <w:p>
            <w:pPr>
              <w:spacing w:after="0"/>
            </w:pPr>
            <w:r>
              <w:rPr>
                <w:rFonts w:ascii="Aptos" w:hAnsi="Aptos"/>
                <w:sz w:val="18"/>
              </w:rPr>
              <w:t>September 2026</w:t>
            </w:r>
          </w:p>
        </w:tc>
      </w:tr>
      <w:tr>
        <w:tc>
          <w:tcPr>
            <w:tcW w:type="dxa" w:w="5112"/>
            <w:shd w:fill="E7E6E6"/>
            <w:tcMar>
              <w:top w:w="90" w:type="dxa"/>
              <w:start w:w="100" w:type="dxa"/>
              <w:bottom w:w="90" w:type="dxa"/>
              <w:end w:w="100" w:type="dxa"/>
            </w:tcMar>
            <w:vAlign w:val="center"/>
          </w:tcPr>
          <w:p>
            <w:pPr>
              <w:spacing w:after="0"/>
            </w:pPr>
            <w:r>
              <w:rPr>
                <w:rFonts w:ascii="Aptos" w:hAnsi="Aptos"/>
                <w:b/>
                <w:sz w:val="18"/>
              </w:rPr>
              <w:t>Next Review Due</w:t>
            </w:r>
          </w:p>
        </w:tc>
        <w:tc>
          <w:tcPr>
            <w:tcW w:type="dxa" w:w="5112"/>
            <w:tcMar>
              <w:top w:w="90" w:type="dxa"/>
              <w:start w:w="100" w:type="dxa"/>
              <w:bottom w:w="90" w:type="dxa"/>
              <w:end w:w="100" w:type="dxa"/>
            </w:tcMar>
            <w:vAlign w:val="center"/>
          </w:tcPr>
          <w:p>
            <w:pPr>
              <w:spacing w:after="0"/>
            </w:pPr>
            <w:r>
              <w:rPr>
                <w:rFonts w:ascii="Aptos" w:hAnsi="Aptos"/>
                <w:sz w:val="18"/>
              </w:rPr>
              <w:t>Twelve months from issue</w:t>
            </w:r>
          </w:p>
        </w:tc>
      </w:tr>
      <w:tr>
        <w:tc>
          <w:tcPr>
            <w:tcW w:type="dxa" w:w="5112"/>
            <w:shd w:fill="E7E6E6"/>
            <w:tcMar>
              <w:top w:w="90" w:type="dxa"/>
              <w:start w:w="100" w:type="dxa"/>
              <w:bottom w:w="90" w:type="dxa"/>
              <w:end w:w="100" w:type="dxa"/>
            </w:tcMar>
            <w:vAlign w:val="center"/>
          </w:tcPr>
          <w:p>
            <w:pPr>
              <w:spacing w:after="0"/>
            </w:pPr>
            <w:r>
              <w:rPr>
                <w:rFonts w:ascii="Aptos" w:hAnsi="Aptos"/>
                <w:b/>
                <w:sz w:val="18"/>
              </w:rPr>
              <w:t>ISO 9001:2015</w:t>
            </w:r>
          </w:p>
        </w:tc>
        <w:tc>
          <w:tcPr>
            <w:tcW w:type="dxa" w:w="5112"/>
            <w:tcMar>
              <w:top w:w="90" w:type="dxa"/>
              <w:start w:w="100" w:type="dxa"/>
              <w:bottom w:w="90" w:type="dxa"/>
              <w:end w:w="100" w:type="dxa"/>
            </w:tcMar>
            <w:vAlign w:val="center"/>
          </w:tcPr>
          <w:p>
            <w:pPr>
              <w:spacing w:after="0"/>
            </w:pPr>
            <w:r>
              <w:rPr>
                <w:rFonts w:ascii="Aptos" w:hAnsi="Aptos"/>
                <w:sz w:val="18"/>
              </w:rPr>
              <w:t>Clause 7.5</w:t>
            </w:r>
          </w:p>
        </w:tc>
      </w:tr>
      <w:tr>
        <w:tc>
          <w:tcPr>
            <w:tcW w:type="dxa" w:w="5112"/>
            <w:shd w:fill="E7E6E6"/>
            <w:tcMar>
              <w:top w:w="90" w:type="dxa"/>
              <w:start w:w="100" w:type="dxa"/>
              <w:bottom w:w="90" w:type="dxa"/>
              <w:end w:w="100" w:type="dxa"/>
            </w:tcMar>
            <w:vAlign w:val="center"/>
          </w:tcPr>
          <w:p>
            <w:pPr>
              <w:spacing w:after="0"/>
            </w:pPr>
            <w:r>
              <w:rPr>
                <w:rFonts w:ascii="Aptos" w:hAnsi="Aptos"/>
                <w:b/>
                <w:sz w:val="18"/>
              </w:rPr>
              <w:t>ISO 27001:2022</w:t>
            </w:r>
          </w:p>
        </w:tc>
        <w:tc>
          <w:tcPr>
            <w:tcW w:type="dxa" w:w="5112"/>
            <w:tcMar>
              <w:top w:w="90" w:type="dxa"/>
              <w:start w:w="100" w:type="dxa"/>
              <w:bottom w:w="90" w:type="dxa"/>
              <w:end w:w="100" w:type="dxa"/>
            </w:tcMar>
            <w:vAlign w:val="center"/>
          </w:tcPr>
          <w:p>
            <w:pPr>
              <w:spacing w:after="0"/>
            </w:pPr>
            <w:r>
              <w:rPr>
                <w:rFonts w:ascii="Aptos" w:hAnsi="Aptos"/>
                <w:sz w:val="18"/>
              </w:rPr>
              <w:t>Clause 7.5; Annex A.5.33, A.5.34, A.5.37</w:t>
            </w:r>
          </w:p>
        </w:tc>
      </w:tr>
      <w:tr>
        <w:tc>
          <w:tcPr>
            <w:tcW w:type="dxa" w:w="5112"/>
            <w:vAlign w:val="center"/>
            <w:tcMar>
              <w:top w:w="90" w:type="dxa"/>
              <w:start w:w="100" w:type="dxa"/>
              <w:bottom w:w="90" w:type="dxa"/>
              <w:end w:w="100" w:type="dxa"/>
            </w:tcMar>
          </w:tcPr>
          <w:p>
            <w:pPr>
              <w:spacing w:after="0"/>
            </w:pPr>
            <w:r>
              <w:rPr>
                <w:rFonts w:ascii="Aptos" w:hAnsi="Aptos"/>
                <w:sz w:val="18"/>
              </w:rPr>
              <w:t>Supersedes / retires on issue</w:t>
            </w:r>
          </w:p>
        </w:tc>
        <w:tc>
          <w:tcPr>
            <w:tcW w:type="dxa" w:w="5112"/>
            <w:vAlign w:val="center"/>
            <w:tcMar>
              <w:top w:w="90" w:type="dxa"/>
              <w:start w:w="100" w:type="dxa"/>
              <w:bottom w:w="90" w:type="dxa"/>
              <w:end w:w="100" w:type="dxa"/>
            </w:tcMar>
          </w:tcPr>
          <w:p>
            <w:pPr>
              <w:spacing w:after="0"/>
            </w:pPr>
            <w:r>
              <w:rPr>
                <w:rFonts w:ascii="Aptos" w:hAnsi="Aptos"/>
                <w:sz w:val="18"/>
              </w:rPr>
              <w:t>Prior CDI Policy issue; standalone retention-policy instruments listed in the Transition &amp; Retirement Schedule as active governance instruments.</w:t>
            </w:r>
          </w:p>
        </w:tc>
      </w:tr>
    </w:tbl>
    <w:p/>
    <w:p>
      <w:pPr>
        <w:pStyle w:val="Heading1"/>
      </w:pPr>
      <w:r>
        <w:t>REVISION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8"/>
            <w:vAlign w:val="center"/>
            <w:tcMar>
              <w:top w:w="90" w:type="dxa"/>
              <w:start w:w="100" w:type="dxa"/>
              <w:bottom w:w="90" w:type="dxa"/>
              <w:end w:w="100" w:type="dxa"/>
            </w:tcMar>
          </w:tcPr>
          <w:p>
            <w:pPr>
              <w:spacing w:after="0"/>
            </w:pPr>
            <w:r>
              <w:rPr>
                <w:rFonts w:ascii="Aptos" w:hAnsi="Aptos"/>
                <w:b/>
                <w:color w:val="FFFFFF"/>
                <w:sz w:val="18"/>
              </w:rPr>
              <w:t>Version</w:t>
            </w:r>
          </w:p>
        </w:tc>
        <w:tc>
          <w:tcPr>
            <w:tcW w:type="dxa" w:w="2556"/>
            <w:shd w:fill="1F4E78"/>
            <w:vAlign w:val="center"/>
            <w:tcMar>
              <w:top w:w="90" w:type="dxa"/>
              <w:start w:w="100" w:type="dxa"/>
              <w:bottom w:w="90" w:type="dxa"/>
              <w:end w:w="100" w:type="dxa"/>
            </w:tcMar>
          </w:tcPr>
          <w:p>
            <w:pPr>
              <w:spacing w:after="0"/>
            </w:pPr>
            <w:r>
              <w:rPr>
                <w:rFonts w:ascii="Aptos" w:hAnsi="Aptos"/>
                <w:b/>
                <w:color w:val="FFFFFF"/>
                <w:sz w:val="18"/>
              </w:rPr>
              <w:t>Date</w:t>
            </w:r>
          </w:p>
        </w:tc>
        <w:tc>
          <w:tcPr>
            <w:tcW w:type="dxa" w:w="2556"/>
            <w:shd w:fill="1F4E78"/>
            <w:vAlign w:val="center"/>
            <w:tcMar>
              <w:top w:w="90" w:type="dxa"/>
              <w:start w:w="100" w:type="dxa"/>
              <w:bottom w:w="90" w:type="dxa"/>
              <w:end w:w="100" w:type="dxa"/>
            </w:tcMar>
          </w:tcPr>
          <w:p>
            <w:pPr>
              <w:spacing w:after="0"/>
            </w:pPr>
            <w:r>
              <w:rPr>
                <w:rFonts w:ascii="Aptos" w:hAnsi="Aptos"/>
                <w:b/>
                <w:color w:val="FFFFFF"/>
                <w:sz w:val="18"/>
              </w:rPr>
              <w:t>Purpose</w:t>
            </w:r>
          </w:p>
        </w:tc>
        <w:tc>
          <w:tcPr>
            <w:tcW w:type="dxa" w:w="2556"/>
            <w:shd w:fill="1F4E78"/>
            <w:vAlign w:val="center"/>
            <w:tcMar>
              <w:top w:w="90" w:type="dxa"/>
              <w:start w:w="100" w:type="dxa"/>
              <w:bottom w:w="90" w:type="dxa"/>
              <w:end w:w="100" w:type="dxa"/>
            </w:tcMar>
          </w:tcPr>
          <w:p>
            <w:pPr>
              <w:spacing w:after="0"/>
            </w:pPr>
            <w:r>
              <w:rPr>
                <w:rFonts w:ascii="Aptos" w:hAnsi="Aptos"/>
                <w:b/>
                <w:color w:val="FFFFFF"/>
                <w:sz w:val="18"/>
              </w:rPr>
              <w:t>Approved By</w:t>
            </w:r>
          </w:p>
        </w:tc>
      </w:tr>
      <w:tr>
        <w:tc>
          <w:tcPr>
            <w:tcW w:type="dxa" w:w="2556"/>
            <w:tcMar>
              <w:top w:w="90" w:type="dxa"/>
              <w:start w:w="100" w:type="dxa"/>
              <w:bottom w:w="90" w:type="dxa"/>
              <w:end w:w="100" w:type="dxa"/>
            </w:tcMar>
            <w:vAlign w:val="center"/>
          </w:tcPr>
          <w:p>
            <w:pPr>
              <w:spacing w:after="0"/>
            </w:pPr>
            <w:r>
              <w:rPr>
                <w:rFonts w:ascii="Aptos" w:hAnsi="Aptos"/>
                <w:sz w:val="18"/>
              </w:rPr>
              <w:t>00</w:t>
            </w:r>
          </w:p>
        </w:tc>
        <w:tc>
          <w:tcPr>
            <w:tcW w:type="dxa" w:w="2556"/>
            <w:tcMar>
              <w:top w:w="90" w:type="dxa"/>
              <w:start w:w="100" w:type="dxa"/>
              <w:bottom w:w="90" w:type="dxa"/>
              <w:end w:w="100" w:type="dxa"/>
            </w:tcMar>
            <w:vAlign w:val="center"/>
          </w:tcPr>
          <w:p>
            <w:pPr>
              <w:spacing w:after="0"/>
            </w:pPr>
            <w:r>
              <w:rPr>
                <w:rFonts w:ascii="Aptos" w:hAnsi="Aptos"/>
                <w:sz w:val="18"/>
              </w:rPr>
              <w:t>Jul 2026</w:t>
            </w:r>
          </w:p>
        </w:tc>
        <w:tc>
          <w:tcPr>
            <w:tcW w:type="dxa" w:w="2556"/>
            <w:tcMar>
              <w:top w:w="90" w:type="dxa"/>
              <w:start w:w="100" w:type="dxa"/>
              <w:bottom w:w="90" w:type="dxa"/>
              <w:end w:w="100" w:type="dxa"/>
            </w:tcMar>
            <w:vAlign w:val="center"/>
          </w:tcPr>
          <w:p>
            <w:pPr>
              <w:spacing w:after="0"/>
            </w:pPr>
            <w:r>
              <w:rPr>
                <w:rFonts w:ascii="Aptos" w:hAnsi="Aptos"/>
                <w:sz w:val="18"/>
              </w:rPr>
              <w:t>Issued for review.</w:t>
            </w:r>
          </w:p>
        </w:tc>
        <w:tc>
          <w:tcPr>
            <w:tcW w:type="dxa" w:w="2556"/>
            <w:tcMar>
              <w:top w:w="90" w:type="dxa"/>
              <w:start w:w="100" w:type="dxa"/>
              <w:bottom w:w="90" w:type="dxa"/>
              <w:end w:w="100" w:type="dxa"/>
            </w:tcMar>
            <w:vAlign w:val="center"/>
          </w:tcPr>
          <w:p>
            <w:pPr>
              <w:spacing w:after="0"/>
            </w:pPr>
            <w:r>
              <w:rPr>
                <w:rFonts w:ascii="Aptos" w:hAnsi="Aptos"/>
                <w:sz w:val="18"/>
              </w:rPr>
              <w:t>Chief Compliance Officer</w:t>
            </w:r>
          </w:p>
        </w:tc>
      </w:tr>
      <w:tr>
        <w:tc>
          <w:tcPr>
            <w:tcW w:type="dxa" w:w="2556"/>
            <w:tcMar>
              <w:top w:w="90" w:type="dxa"/>
              <w:start w:w="100" w:type="dxa"/>
              <w:bottom w:w="90" w:type="dxa"/>
              <w:end w:w="100" w:type="dxa"/>
            </w:tcMar>
            <w:vAlign w:val="center"/>
          </w:tcPr>
          <w:p>
            <w:pPr>
              <w:spacing w:after="0"/>
            </w:pPr>
            <w:r>
              <w:rPr>
                <w:rFonts w:ascii="Aptos" w:hAnsi="Aptos"/>
                <w:sz w:val="18"/>
              </w:rPr>
              <w:t>01</w:t>
            </w:r>
          </w:p>
        </w:tc>
        <w:tc>
          <w:tcPr>
            <w:tcW w:type="dxa" w:w="2556"/>
            <w:tcMar>
              <w:top w:w="90" w:type="dxa"/>
              <w:start w:w="100" w:type="dxa"/>
              <w:bottom w:w="90" w:type="dxa"/>
              <w:end w:w="100" w:type="dxa"/>
            </w:tcMar>
            <w:vAlign w:val="center"/>
          </w:tcPr>
          <w:p>
            <w:pPr>
              <w:spacing w:after="0"/>
            </w:pPr>
            <w:r>
              <w:rPr>
                <w:rFonts w:ascii="Aptos" w:hAnsi="Aptos"/>
                <w:sz w:val="18"/>
              </w:rPr>
              <w:t>Jul 2026</w:t>
            </w:r>
          </w:p>
        </w:tc>
        <w:tc>
          <w:tcPr>
            <w:tcW w:type="dxa" w:w="2556"/>
            <w:tcMar>
              <w:top w:w="90" w:type="dxa"/>
              <w:start w:w="100" w:type="dxa"/>
              <w:bottom w:w="90" w:type="dxa"/>
              <w:end w:w="100" w:type="dxa"/>
            </w:tcMar>
            <w:vAlign w:val="center"/>
          </w:tcPr>
          <w:p>
            <w:pPr>
              <w:spacing w:after="0"/>
            </w:pPr>
            <w:r>
              <w:rPr>
                <w:rFonts w:ascii="Aptos" w:hAnsi="Aptos"/>
                <w:sz w:val="18"/>
              </w:rPr>
              <w:t>Issued for approval.</w:t>
            </w:r>
          </w:p>
        </w:tc>
        <w:tc>
          <w:tcPr>
            <w:tcW w:type="dxa" w:w="2556"/>
            <w:tcMar>
              <w:top w:w="90" w:type="dxa"/>
              <w:start w:w="100" w:type="dxa"/>
              <w:bottom w:w="90" w:type="dxa"/>
              <w:end w:w="100" w:type="dxa"/>
            </w:tcMar>
            <w:vAlign w:val="center"/>
          </w:tcPr>
          <w:p>
            <w:pPr>
              <w:spacing w:after="0"/>
            </w:pPr>
            <w:r>
              <w:rPr>
                <w:rFonts w:ascii="Aptos" w:hAnsi="Aptos"/>
                <w:sz w:val="18"/>
              </w:rPr>
              <w:t>Chief Compliance Officer</w:t>
            </w:r>
          </w:p>
        </w:tc>
      </w:tr>
      <w:tr>
        <w:tc>
          <w:tcPr>
            <w:tcW w:type="dxa" w:w="2556"/>
            <w:tcMar>
              <w:top w:w="90" w:type="dxa"/>
              <w:start w:w="100" w:type="dxa"/>
              <w:bottom w:w="90" w:type="dxa"/>
              <w:end w:w="100" w:type="dxa"/>
            </w:tcMar>
            <w:vAlign w:val="center"/>
          </w:tcPr>
          <w:p>
            <w:pPr>
              <w:spacing w:after="0"/>
            </w:pPr>
            <w:r>
              <w:rPr>
                <w:rFonts w:ascii="Aptos" w:hAnsi="Aptos"/>
                <w:sz w:val="18"/>
              </w:rPr>
              <w:t>02</w:t>
            </w:r>
          </w:p>
        </w:tc>
        <w:tc>
          <w:tcPr>
            <w:tcW w:type="dxa" w:w="2556"/>
            <w:tcMar>
              <w:top w:w="90" w:type="dxa"/>
              <w:start w:w="100" w:type="dxa"/>
              <w:bottom w:w="90" w:type="dxa"/>
              <w:end w:w="100" w:type="dxa"/>
            </w:tcMar>
            <w:vAlign w:val="center"/>
          </w:tcPr>
          <w:p>
            <w:pPr>
              <w:spacing w:after="0"/>
            </w:pPr>
            <w:r>
              <w:rPr>
                <w:rFonts w:ascii="Aptos" w:hAnsi="Aptos"/>
                <w:sz w:val="18"/>
              </w:rPr>
              <w:t>Jul 2026</w:t>
            </w:r>
          </w:p>
        </w:tc>
        <w:tc>
          <w:tcPr>
            <w:tcW w:type="dxa" w:w="2556"/>
            <w:tcMar>
              <w:top w:w="90" w:type="dxa"/>
              <w:start w:w="100" w:type="dxa"/>
              <w:bottom w:w="90" w:type="dxa"/>
              <w:end w:w="100" w:type="dxa"/>
            </w:tcMar>
            <w:vAlign w:val="center"/>
          </w:tcPr>
          <w:p>
            <w:pPr>
              <w:spacing w:after="0"/>
            </w:pPr>
            <w:r>
              <w:rPr>
                <w:rFonts w:ascii="Aptos" w:hAnsi="Aptos"/>
                <w:sz w:val="18"/>
              </w:rPr>
              <w:t>Issued for use.</w:t>
            </w:r>
          </w:p>
        </w:tc>
        <w:tc>
          <w:tcPr>
            <w:tcW w:type="dxa" w:w="2556"/>
            <w:tcMar>
              <w:top w:w="90" w:type="dxa"/>
              <w:start w:w="100" w:type="dxa"/>
              <w:bottom w:w="90" w:type="dxa"/>
              <w:end w:w="100" w:type="dxa"/>
            </w:tcMar>
            <w:vAlign w:val="center"/>
          </w:tcPr>
          <w:p>
            <w:pPr>
              <w:spacing w:after="0"/>
            </w:pPr>
            <w:r>
              <w:rPr>
                <w:rFonts w:ascii="Aptos" w:hAnsi="Aptos"/>
                <w:sz w:val="18"/>
              </w:rPr>
              <w:t>Chief Compliance Officer</w:t>
            </w:r>
          </w:p>
        </w:tc>
      </w:tr>
      <w:tr>
        <w:tc>
          <w:tcPr>
            <w:tcW w:type="dxa" w:w="2556"/>
            <w:tcMar>
              <w:top w:w="90" w:type="dxa"/>
              <w:start w:w="100" w:type="dxa"/>
              <w:bottom w:w="90" w:type="dxa"/>
              <w:end w:w="100" w:type="dxa"/>
            </w:tcMar>
            <w:vAlign w:val="center"/>
          </w:tcPr>
          <w:p>
            <w:pPr>
              <w:spacing w:after="0"/>
            </w:pPr>
            <w:r>
              <w:rPr>
                <w:rFonts w:ascii="Aptos" w:hAnsi="Aptos"/>
                <w:sz w:val="18"/>
              </w:rPr>
              <w:t>Draft</w:t>
            </w:r>
          </w:p>
        </w:tc>
        <w:tc>
          <w:tcPr>
            <w:tcW w:type="dxa" w:w="2556"/>
            <w:tcMar>
              <w:top w:w="90" w:type="dxa"/>
              <w:start w:w="100" w:type="dxa"/>
              <w:bottom w:w="90" w:type="dxa"/>
              <w:end w:w="100" w:type="dxa"/>
            </w:tcMar>
            <w:vAlign w:val="center"/>
          </w:tcPr>
          <w:p>
            <w:pPr>
              <w:spacing w:after="0"/>
            </w:pPr>
            <w:r>
              <w:rPr>
                <w:rFonts w:ascii="Aptos" w:hAnsi="Aptos"/>
                <w:sz w:val="18"/>
              </w:rPr>
              <w:t>Sep 2026</w:t>
            </w:r>
          </w:p>
        </w:tc>
        <w:tc>
          <w:tcPr>
            <w:tcW w:type="dxa" w:w="2556"/>
            <w:tcMar>
              <w:top w:w="90" w:type="dxa"/>
              <w:start w:w="100" w:type="dxa"/>
              <w:bottom w:w="90" w:type="dxa"/>
              <w:end w:w="100" w:type="dxa"/>
            </w:tcMar>
            <w:vAlign w:val="center"/>
          </w:tcPr>
          <w:p>
            <w:pPr>
              <w:spacing w:after="0"/>
            </w:pPr>
            <w:r>
              <w:rPr>
                <w:rFonts w:ascii="Aptos" w:hAnsi="Aptos"/>
                <w:sz w:val="18"/>
              </w:rPr>
              <w:t>Repackages the CDI family around durable document-control, authoring, GRC-readiness and records-governance rules; retires fragmented authoring/monitoring instruments and establishes the successor records architecture, including controlled treatment of legacy retention sources.</w:t>
            </w:r>
          </w:p>
        </w:tc>
        <w:tc>
          <w:tcPr>
            <w:tcW w:type="dxa" w:w="2556"/>
            <w:tcMar>
              <w:top w:w="90" w:type="dxa"/>
              <w:start w:w="100" w:type="dxa"/>
              <w:bottom w:w="90" w:type="dxa"/>
              <w:end w:w="100" w:type="dxa"/>
            </w:tcMar>
            <w:vAlign w:val="center"/>
          </w:tcPr>
          <w:p>
            <w:pPr>
              <w:spacing w:after="0"/>
            </w:pPr>
            <w:r>
              <w:rPr>
                <w:rFonts w:ascii="Aptos" w:hAnsi="Aptos"/>
                <w:sz w:val="18"/>
              </w:rPr>
              <w:t>Pending</w:t>
            </w:r>
          </w:p>
        </w:tc>
      </w:tr>
    </w:tbl>
    <w:p>
      <w:r/>
    </w:p>
    <w:p>
      <w:pPr>
        <w:pStyle w:val="Heading1"/>
      </w:pPr>
      <w:r>
        <w:t>1.0 PURPOSE</w:t>
      </w:r>
    </w:p>
    <w:p>
      <w:r>
        <w:t>This Policy states Dragnet's commitment to controlling documented information - both the documents that direct work and the records that evidence what was done - across the integrated Quality Management System (QMS) and Information Security Management System (ISMS).</w:t>
      </w:r>
    </w:p>
    <w:p>
      <w:r>
        <w:t>It is the charter for the Control of Documented Information (CDI) family. It sets the governing commitments and authorises the subordinate controls that define document control, records governance and the common records metadata model.</w:t>
      </w:r>
    </w:p>
    <w:p>
      <w:pPr>
        <w:pStyle w:val="Heading1"/>
      </w:pPr>
      <w:r>
        <w:t>2.0 SCOPE</w:t>
      </w:r>
    </w:p>
    <w:p>
      <w:r>
        <w:t>This Policy applies to every controlled document and record created, used or retained by Dragnet in support of the QMS, the ISMS or both, regardless of author, department, format or storage location, and to any automated or AI-augmented process that acts on controlled documented information.</w:t>
      </w:r>
    </w:p>
    <w:p>
      <w:r>
        <w:t>This Policy does not replace specialist governance for Data Protection &amp; Privacy, Information Security classification, statutory or regulatory obligations, contractual obligations, or technical data lifecycle. Those families remain authoritative for their subject matter and are referenced by CDI where their requirements apply to a document or record.</w:t>
      </w:r>
    </w:p>
    <w:p>
      <w:pPr>
        <w:pStyle w:val="Heading1"/>
      </w:pPr>
      <w:r>
        <w:t>3.0 POLICY STATEMENTS</w:t>
      </w:r>
    </w:p>
    <w:p>
      <w:r>
        <w:rPr>
          <w:b/>
        </w:rPr>
        <w:t xml:space="preserve">3.1 </w:t>
      </w:r>
      <w:r>
        <w:t>All controlled documented information shall exist within the approved governance hierarchy or as a controlled record produced under it. No governing document may exist without a valid parent relationship except where the CDI Procedure expressly permits a Layer 4 document to sit directly beneath a Layer 2 Policy where no Layer 3 Standard is required.</w:t>
      </w:r>
    </w:p>
    <w:p>
      <w:r>
        <w:rPr>
          <w:b/>
        </w:rPr>
        <w:t xml:space="preserve">3.2 </w:t>
      </w:r>
      <w:r>
        <w:t>Every controlled document shall have a canonical identity, a named Owner role, an approval route, a Primary Domain, a current controlled version and an authoritative repository entry in accordance with the CDI Procedure.</w:t>
      </w:r>
    </w:p>
    <w:p>
      <w:r>
        <w:rPr>
          <w:b/>
        </w:rPr>
        <w:t xml:space="preserve">3.3 </w:t>
      </w:r>
      <w:r>
        <w:t>Layer 3 Standards are the primary control-definition layer. Where a control requires evidence, the Standard shall identify the required governed record/evidence object and the applicable monitoring requirement in accordance with the CDI Procedure.</w:t>
      </w:r>
    </w:p>
    <w:p>
      <w:r>
        <w:t>3.4 Governed records shall be identifiable, retrievable, protected, retained and disposed of in accordance with the Information &amp; Records Governance Standard and represented using the Records Taxonomy &amp; Metadata Specification. The Enterprise Records Catalogue is the controlled master catalogue of approved Record Types and governed Record Names; retention, findability and privacy-linked registers/views shall reference that catalogue rather than create competing record identities.</w:t>
      </w:r>
    </w:p>
    <w:p>
      <w:r>
        <w:rPr>
          <w:b/>
        </w:rPr>
        <w:t xml:space="preserve">3.5 </w:t>
      </w:r>
      <w:r>
        <w:t>Record Type and Record Name may provide reusable organisational consistency; operational accountability such as custodianship is assigned at the applicable control or process level and is not assumed to be a universal property of a broad record class or type.</w:t>
      </w:r>
    </w:p>
    <w:p>
      <w:r>
        <w:rPr>
          <w:b/>
        </w:rPr>
        <w:t xml:space="preserve">3.6 </w:t>
      </w:r>
      <w:r>
        <w:t>Retention, authoritative location/findability and disposition shall be governed against the same record/evidence object so that they remain coherent, while specialist obligations such as information classification, personal-data controls and technical lifecycle treatment continue to be governed by their own authoritative families.</w:t>
      </w:r>
    </w:p>
    <w:p>
      <w:r>
        <w:rPr>
          <w:b/>
        </w:rPr>
        <w:t xml:space="preserve">3.7 </w:t>
      </w:r>
      <w:r>
        <w:t>Information Classification shall be applied by reference to the authoritative Information Security classification control. Personal Data status and related privacy requirements shall be governed by the Data Protection &amp; Privacy family. CDI shall not create parallel classification or privacy taxonomies.</w:t>
      </w:r>
    </w:p>
    <w:p>
      <w:r>
        <w:rPr>
          <w:b/>
        </w:rPr>
        <w:t xml:space="preserve">3.8 </w:t>
      </w:r>
      <w:r>
        <w:t>Only the current version held in the official controlled repository is valid for use. Superseded versions shall be archived, clearly marked and protected against unintended current use.</w:t>
      </w:r>
    </w:p>
    <w:p>
      <w:r>
        <w:t>3.9 A central Document Register shall remain the authoritative index of controlled governing documents. The Enterprise Records Catalogue shall remain the authoritative controlled catalogue of Record Types and governed Record Names. Retention schedules, findability views and specialist registers are controlled records/views and do not become additional hierarchy layers.</w:t>
      </w:r>
    </w:p>
    <w:p>
      <w:r>
        <w:rPr>
          <w:b/>
        </w:rPr>
        <w:t xml:space="preserve">3.10 </w:t>
      </w:r>
      <w:r>
        <w:t>Where the same controlled fact is relevant in more than one register, view or report, Dragnet shall preserve one authoritative source record and reference it elsewhere rather than recreate competing masters.</w:t>
      </w:r>
    </w:p>
    <w:p>
      <w:pPr/>
      <w:r>
        <w:t>3.10A The Enterprise Records Catalogue is the master identity source for governed Record Types and Record Names. Any decomposition of a broad dataset, container or legacy inventory item MUST occur once in the Catalogue. Retention, Findability, Privacy and GRC views MUST reference the resulting Record IDs and MUST NOT independently recreate or decompose record identities.</w:t>
      </w:r>
    </w:p>
    <w:p>
      <w:r>
        <w:rPr>
          <w:b/>
        </w:rPr>
        <w:t xml:space="preserve">3.11 </w:t>
      </w:r>
      <w:r>
        <w:t>Automation and AI may support extraction, classification, routing, monitoring and register maintenance, but no automated agent may create, reclassify, approve, retire or alter the control status of a governing document or approved record rule outside the authority and approval requirements defined by this Policy and its subordinate controls.</w:t>
      </w:r>
    </w:p>
    <w:p>
      <w:pPr/>
      <w:r>
        <w:t>3.11A Personal Data status is an overlay on a record, not a Record Type or Record Class. Data Protection lawful basis (for example consent or legitimate interest) MUST NOT be treated automatically as the authority for a record-retention period.</w:t>
      </w:r>
    </w:p>
    <w:p>
      <w:r>
        <w:rPr>
          <w:b/>
        </w:rPr>
        <w:t xml:space="preserve">3.12 </w:t>
      </w:r>
      <w:r>
        <w:t>Control authors shall use the CDI Procedure and approved metadata references so that controls, governing authorities, evidence/records, roles, monitoring requirements and exceptions can be reliably extracted and operated through the GRC environment without re-inventing them downstream.</w:t>
      </w:r>
    </w:p>
    <w:p>
      <w:pPr>
        <w:pStyle w:val="Heading1"/>
      </w:pPr>
      <w:r>
        <w:t>4.0 THE CDI FAMILY</w:t>
      </w:r>
    </w:p>
    <w:p>
      <w:r>
        <w:t>The CDI family is intentionally small. It governs documented information and the records-control grammar without absorbing specialist governance domains.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1F4E78"/>
            <w:vAlign w:val="center"/>
            <w:tcMar>
              <w:top w:w="90" w:type="dxa"/>
              <w:start w:w="100" w:type="dxa"/>
              <w:bottom w:w="90" w:type="dxa"/>
              <w:end w:w="100" w:type="dxa"/>
            </w:tcMar>
          </w:tcPr>
          <w:p>
            <w:pPr>
              <w:spacing w:after="0"/>
            </w:pPr>
            <w:r>
              <w:rPr>
                <w:rFonts w:ascii="Aptos" w:hAnsi="Aptos"/>
                <w:sz w:val="18"/>
              </w:rPr>
              <w:t>Member</w:t>
            </w:r>
          </w:p>
        </w:tc>
        <w:tc>
          <w:tcPr>
            <w:tcW w:type="dxa" w:w="2556"/>
            <w:shd w:fill="1F4E78"/>
            <w:vAlign w:val="center"/>
            <w:tcMar>
              <w:top w:w="90" w:type="dxa"/>
              <w:start w:w="100" w:type="dxa"/>
              <w:bottom w:w="90" w:type="dxa"/>
              <w:end w:w="100" w:type="dxa"/>
            </w:tcMar>
          </w:tcPr>
          <w:p>
            <w:pPr>
              <w:spacing w:after="0"/>
            </w:pPr>
            <w:r>
              <w:rPr>
                <w:rFonts w:ascii="Aptos" w:hAnsi="Aptos"/>
                <w:sz w:val="18"/>
              </w:rPr>
              <w:t>Layer</w:t>
            </w:r>
          </w:p>
        </w:tc>
        <w:tc>
          <w:tcPr>
            <w:tcW w:type="dxa" w:w="2556"/>
            <w:shd w:fill="1F4E78"/>
            <w:vAlign w:val="center"/>
            <w:tcMar>
              <w:top w:w="90" w:type="dxa"/>
              <w:start w:w="100" w:type="dxa"/>
              <w:bottom w:w="90" w:type="dxa"/>
              <w:end w:w="100" w:type="dxa"/>
            </w:tcMar>
          </w:tcPr>
          <w:p>
            <w:pPr>
              <w:spacing w:after="0"/>
            </w:pPr>
            <w:r>
              <w:rPr>
                <w:rFonts w:ascii="Aptos" w:hAnsi="Aptos"/>
                <w:sz w:val="18"/>
              </w:rPr>
              <w:t>Parent</w:t>
            </w:r>
          </w:p>
        </w:tc>
        <w:tc>
          <w:tcPr>
            <w:tcW w:type="dxa" w:w="2556"/>
            <w:shd w:fill="1F4E78"/>
            <w:vAlign w:val="center"/>
            <w:tcMar>
              <w:top w:w="90" w:type="dxa"/>
              <w:start w:w="100" w:type="dxa"/>
              <w:bottom w:w="90" w:type="dxa"/>
              <w:end w:w="100" w:type="dxa"/>
            </w:tcMar>
          </w:tcPr>
          <w:p>
            <w:pPr>
              <w:spacing w:after="0"/>
            </w:pPr>
            <w:r>
              <w:rPr>
                <w:rFonts w:ascii="Aptos" w:hAnsi="Aptos"/>
                <w:sz w:val="18"/>
              </w:rPr>
              <w:t>Purpose</w:t>
            </w:r>
          </w:p>
        </w:tc>
      </w:tr>
      <w:tr>
        <w:tc>
          <w:tcPr>
            <w:tcW w:type="dxa" w:w="2556"/>
            <w:tcMar>
              <w:top w:w="90" w:type="dxa"/>
              <w:start w:w="100" w:type="dxa"/>
              <w:bottom w:w="90" w:type="dxa"/>
              <w:end w:w="100" w:type="dxa"/>
            </w:tcMar>
            <w:vAlign w:val="center"/>
          </w:tcPr>
          <w:p>
            <w:pPr>
              <w:spacing w:after="0"/>
            </w:pPr>
            <w:r>
              <w:rPr>
                <w:rFonts w:ascii="Aptos" w:hAnsi="Aptos"/>
                <w:sz w:val="18"/>
              </w:rPr>
              <w:t>Control of Documented Information Policy</w:t>
            </w:r>
          </w:p>
        </w:tc>
        <w:tc>
          <w:tcPr>
            <w:tcW w:type="dxa" w:w="2556"/>
            <w:tcMar>
              <w:top w:w="90" w:type="dxa"/>
              <w:start w:w="100" w:type="dxa"/>
              <w:bottom w:w="90" w:type="dxa"/>
              <w:end w:w="100" w:type="dxa"/>
            </w:tcMar>
            <w:vAlign w:val="center"/>
          </w:tcPr>
          <w:p>
            <w:pPr>
              <w:spacing w:after="0"/>
            </w:pPr>
            <w:r>
              <w:rPr>
                <w:rFonts w:ascii="Aptos" w:hAnsi="Aptos"/>
                <w:sz w:val="18"/>
              </w:rPr>
              <w:t>2</w:t>
            </w:r>
          </w:p>
        </w:tc>
        <w:tc>
          <w:tcPr>
            <w:tcW w:type="dxa" w:w="2556"/>
            <w:tcMar>
              <w:top w:w="90" w:type="dxa"/>
              <w:start w:w="100" w:type="dxa"/>
              <w:bottom w:w="90" w:type="dxa"/>
              <w:end w:w="100" w:type="dxa"/>
            </w:tcMar>
            <w:vAlign w:val="center"/>
          </w:tcPr>
          <w:p>
            <w:pPr>
              <w:spacing w:after="0"/>
            </w:pPr>
            <w:r>
              <w:rPr>
                <w:rFonts w:ascii="Aptos" w:hAnsi="Aptos"/>
                <w:sz w:val="18"/>
              </w:rPr>
              <w:t>Master Integrated Management System Policy</w:t>
            </w:r>
          </w:p>
        </w:tc>
        <w:tc>
          <w:tcPr>
            <w:tcW w:type="dxa" w:w="2556"/>
            <w:tcMar>
              <w:top w:w="90" w:type="dxa"/>
              <w:start w:w="100" w:type="dxa"/>
              <w:bottom w:w="90" w:type="dxa"/>
              <w:end w:w="100" w:type="dxa"/>
            </w:tcMar>
            <w:vAlign w:val="center"/>
          </w:tcPr>
          <w:p>
            <w:pPr>
              <w:spacing w:after="0"/>
            </w:pPr>
            <w:r>
              <w:rPr>
                <w:rFonts w:ascii="Aptos" w:hAnsi="Aptos"/>
                <w:sz w:val="18"/>
              </w:rPr>
              <w:t>Charter for document and record control.</w:t>
            </w:r>
          </w:p>
        </w:tc>
      </w:tr>
      <w:tr>
        <w:tc>
          <w:tcPr>
            <w:tcW w:type="dxa" w:w="2556"/>
            <w:tcMar>
              <w:top w:w="90" w:type="dxa"/>
              <w:start w:w="100" w:type="dxa"/>
              <w:bottom w:w="90" w:type="dxa"/>
              <w:end w:w="100" w:type="dxa"/>
            </w:tcMar>
            <w:vAlign w:val="center"/>
          </w:tcPr>
          <w:p>
            <w:pPr>
              <w:spacing w:after="0"/>
            </w:pPr>
            <w:r>
              <w:rPr>
                <w:rFonts w:ascii="Aptos" w:hAnsi="Aptos"/>
                <w:sz w:val="18"/>
              </w:rPr>
              <w:t>Control of Documented Information Procedure</w:t>
            </w:r>
          </w:p>
        </w:tc>
        <w:tc>
          <w:tcPr>
            <w:tcW w:type="dxa" w:w="2556"/>
            <w:tcMar>
              <w:top w:w="90" w:type="dxa"/>
              <w:start w:w="100" w:type="dxa"/>
              <w:bottom w:w="90" w:type="dxa"/>
              <w:end w:w="100" w:type="dxa"/>
            </w:tcMar>
            <w:vAlign w:val="center"/>
          </w:tcPr>
          <w:p>
            <w:pPr>
              <w:spacing w:after="0"/>
            </w:pPr>
            <w:r>
              <w:rPr>
                <w:rFonts w:ascii="Aptos" w:hAnsi="Aptos"/>
                <w:sz w:val="18"/>
              </w:rPr>
              <w:t>4</w:t>
            </w:r>
          </w:p>
        </w:tc>
        <w:tc>
          <w:tcPr>
            <w:tcW w:type="dxa" w:w="2556"/>
            <w:tcMar>
              <w:top w:w="90" w:type="dxa"/>
              <w:start w:w="100" w:type="dxa"/>
              <w:bottom w:w="90" w:type="dxa"/>
              <w:end w:w="100" w:type="dxa"/>
            </w:tcMar>
            <w:vAlign w:val="center"/>
          </w:tcPr>
          <w:p>
            <w:pPr>
              <w:spacing w:after="0"/>
            </w:pPr>
            <w:r>
              <w:rPr>
                <w:rFonts w:ascii="Aptos" w:hAnsi="Aptos"/>
                <w:sz w:val="18"/>
              </w:rPr>
              <w:t>Control of Documented Information Policy</w:t>
            </w:r>
          </w:p>
        </w:tc>
        <w:tc>
          <w:tcPr>
            <w:tcW w:type="dxa" w:w="2556"/>
            <w:tcMar>
              <w:top w:w="90" w:type="dxa"/>
              <w:start w:w="100" w:type="dxa"/>
              <w:bottom w:w="90" w:type="dxa"/>
              <w:end w:w="100" w:type="dxa"/>
            </w:tcMar>
            <w:vAlign w:val="center"/>
          </w:tcPr>
          <w:p>
            <w:pPr>
              <w:spacing w:after="0"/>
            </w:pPr>
            <w:r>
              <w:rPr>
                <w:rFonts w:ascii="Aptos" w:hAnsi="Aptos"/>
                <w:sz w:val="18"/>
              </w:rPr>
              <w:t>Document-control and authoring rulebook; defines how controls declare evidence and reference governed records.</w:t>
            </w:r>
          </w:p>
        </w:tc>
      </w:tr>
      <w:tr>
        <w:tc>
          <w:tcPr>
            <w:tcW w:type="dxa" w:w="2556"/>
            <w:tcMar>
              <w:top w:w="90" w:type="dxa"/>
              <w:start w:w="100" w:type="dxa"/>
              <w:bottom w:w="90" w:type="dxa"/>
              <w:end w:w="100" w:type="dxa"/>
            </w:tcMar>
            <w:vAlign w:val="center"/>
          </w:tcPr>
          <w:p>
            <w:pPr>
              <w:spacing w:after="0"/>
            </w:pPr>
            <w:r>
              <w:rPr>
                <w:rFonts w:ascii="Aptos" w:hAnsi="Aptos"/>
                <w:sz w:val="18"/>
              </w:rPr>
              <w:t>Information &amp; Records Governance Standard</w:t>
            </w:r>
          </w:p>
        </w:tc>
        <w:tc>
          <w:tcPr>
            <w:tcW w:type="dxa" w:w="2556"/>
            <w:tcMar>
              <w:top w:w="90" w:type="dxa"/>
              <w:start w:w="100" w:type="dxa"/>
              <w:bottom w:w="90" w:type="dxa"/>
              <w:end w:w="100" w:type="dxa"/>
            </w:tcMar>
            <w:vAlign w:val="center"/>
          </w:tcPr>
          <w:p>
            <w:pPr>
              <w:spacing w:after="0"/>
            </w:pPr>
            <w:r>
              <w:rPr>
                <w:rFonts w:ascii="Aptos" w:hAnsi="Aptos"/>
                <w:sz w:val="18"/>
              </w:rPr>
              <w:t>3</w:t>
            </w:r>
          </w:p>
        </w:tc>
        <w:tc>
          <w:tcPr>
            <w:tcW w:type="dxa" w:w="2556"/>
            <w:tcMar>
              <w:top w:w="90" w:type="dxa"/>
              <w:start w:w="100" w:type="dxa"/>
              <w:bottom w:w="90" w:type="dxa"/>
              <w:end w:w="100" w:type="dxa"/>
            </w:tcMar>
            <w:vAlign w:val="center"/>
          </w:tcPr>
          <w:p>
            <w:pPr>
              <w:spacing w:after="0"/>
            </w:pPr>
            <w:r>
              <w:rPr>
                <w:rFonts w:ascii="Aptos" w:hAnsi="Aptos"/>
                <w:sz w:val="18"/>
              </w:rPr>
              <w:t>Control of Documented Information Policy</w:t>
            </w:r>
          </w:p>
        </w:tc>
        <w:tc>
          <w:tcPr>
            <w:tcW w:type="dxa" w:w="2556"/>
            <w:tcMar>
              <w:top w:w="90" w:type="dxa"/>
              <w:start w:w="100" w:type="dxa"/>
              <w:bottom w:w="90" w:type="dxa"/>
              <w:end w:w="100" w:type="dxa"/>
            </w:tcMar>
            <w:vAlign w:val="center"/>
          </w:tcPr>
          <w:p>
            <w:pPr>
              <w:spacing w:after="0"/>
            </w:pPr>
            <w:r>
              <w:rPr>
                <w:rFonts w:ascii="Aptos" w:hAnsi="Aptos"/>
                <w:sz w:val="18"/>
              </w:rPr>
              <w:t>Mandatory enterprise controls for record identification, authoritative location/findability, retention, protection and disposition.</w:t>
            </w:r>
          </w:p>
        </w:tc>
      </w:tr>
      <w:tr>
        <w:tc>
          <w:tcPr>
            <w:tcW w:type="dxa" w:w="2556"/>
            <w:tcMar>
              <w:top w:w="90" w:type="dxa"/>
              <w:start w:w="100" w:type="dxa"/>
              <w:bottom w:w="90" w:type="dxa"/>
              <w:end w:w="100" w:type="dxa"/>
            </w:tcMar>
            <w:vAlign w:val="center"/>
          </w:tcPr>
          <w:p>
            <w:pPr>
              <w:spacing w:after="0"/>
            </w:pPr>
            <w:r>
              <w:rPr>
                <w:rFonts w:ascii="Aptos" w:hAnsi="Aptos"/>
                <w:sz w:val="18"/>
              </w:rPr>
              <w:t>Records Taxonomy &amp; Metadata Specification</w:t>
            </w:r>
          </w:p>
        </w:tc>
        <w:tc>
          <w:tcPr>
            <w:tcW w:type="dxa" w:w="2556"/>
            <w:tcMar>
              <w:top w:w="90" w:type="dxa"/>
              <w:start w:w="100" w:type="dxa"/>
              <w:bottom w:w="90" w:type="dxa"/>
              <w:end w:w="100" w:type="dxa"/>
            </w:tcMar>
            <w:vAlign w:val="center"/>
          </w:tcPr>
          <w:p>
            <w:pPr>
              <w:spacing w:after="0"/>
            </w:pPr>
            <w:r>
              <w:rPr>
                <w:rFonts w:ascii="Aptos" w:hAnsi="Aptos"/>
                <w:sz w:val="18"/>
              </w:rPr>
              <w:t>4</w:t>
            </w:r>
          </w:p>
        </w:tc>
        <w:tc>
          <w:tcPr>
            <w:tcW w:type="dxa" w:w="2556"/>
            <w:tcMar>
              <w:top w:w="90" w:type="dxa"/>
              <w:start w:w="100" w:type="dxa"/>
              <w:bottom w:w="90" w:type="dxa"/>
              <w:end w:w="100" w:type="dxa"/>
            </w:tcMar>
            <w:vAlign w:val="center"/>
          </w:tcPr>
          <w:p>
            <w:pPr>
              <w:spacing w:after="0"/>
            </w:pPr>
            <w:r>
              <w:rPr>
                <w:rFonts w:ascii="Aptos" w:hAnsi="Aptos"/>
                <w:sz w:val="18"/>
              </w:rPr>
              <w:t>Information &amp; Records Governance Standard</w:t>
            </w:r>
          </w:p>
        </w:tc>
        <w:tc>
          <w:tcPr>
            <w:tcW w:type="dxa" w:w="2556"/>
            <w:tcMar>
              <w:top w:w="90" w:type="dxa"/>
              <w:start w:w="100" w:type="dxa"/>
              <w:bottom w:w="90" w:type="dxa"/>
              <w:end w:w="100" w:type="dxa"/>
            </w:tcMar>
            <w:vAlign w:val="center"/>
          </w:tcPr>
          <w:p>
            <w:pPr>
              <w:spacing w:after="0"/>
            </w:pPr>
            <w:r>
              <w:rPr>
                <w:rFonts w:ascii="Aptos" w:hAnsi="Aptos"/>
                <w:sz w:val="18"/>
              </w:rPr>
              <w:t>Defines the metadata schema, identifiers, relationships, reference rules and distinction between reusable record attributes and control/process-level attributes.</w:t>
            </w:r>
          </w:p>
        </w:tc>
      </w:tr>
      <w:tr>
        <w:tc>
          <w:tcPr>
            <w:tcW w:type="dxa" w:w="2556"/>
            <w:vAlign w:val="center"/>
            <w:tcMar>
              <w:top w:w="90" w:type="dxa"/>
              <w:start w:w="100" w:type="dxa"/>
              <w:bottom w:w="90" w:type="dxa"/>
              <w:end w:w="100" w:type="dxa"/>
            </w:tcMar>
          </w:tcPr>
          <w:p>
            <w:pPr>
              <w:spacing w:after="0"/>
            </w:pPr>
            <w:r>
              <w:rPr>
                <w:rFonts w:ascii="Aptos" w:hAnsi="Aptos"/>
                <w:sz w:val="18"/>
              </w:rPr>
              <w:t>Enterprise Records Catalogue</w:t>
            </w:r>
          </w:p>
        </w:tc>
        <w:tc>
          <w:tcPr>
            <w:tcW w:type="dxa" w:w="2556"/>
            <w:vAlign w:val="center"/>
            <w:tcMar>
              <w:top w:w="90" w:type="dxa"/>
              <w:start w:w="100" w:type="dxa"/>
              <w:bottom w:w="90" w:type="dxa"/>
              <w:end w:w="100" w:type="dxa"/>
            </w:tcMar>
          </w:tcPr>
          <w:p>
            <w:pPr>
              <w:spacing w:after="0"/>
            </w:pPr>
            <w:r>
              <w:rPr>
                <w:rFonts w:ascii="Aptos" w:hAnsi="Aptos"/>
                <w:sz w:val="18"/>
              </w:rPr>
              <w:t>Record / register</w:t>
            </w:r>
          </w:p>
        </w:tc>
        <w:tc>
          <w:tcPr>
            <w:tcW w:type="dxa" w:w="2556"/>
            <w:vAlign w:val="center"/>
            <w:tcMar>
              <w:top w:w="90" w:type="dxa"/>
              <w:start w:w="100" w:type="dxa"/>
              <w:bottom w:w="90" w:type="dxa"/>
              <w:end w:w="100" w:type="dxa"/>
            </w:tcMar>
          </w:tcPr>
          <w:p>
            <w:pPr>
              <w:spacing w:after="0"/>
            </w:pPr>
            <w:r>
              <w:rPr>
                <w:rFonts w:ascii="Aptos" w:hAnsi="Aptos"/>
                <w:sz w:val="18"/>
              </w:rPr>
              <w:t>Information &amp; Records Governance Standard + Records Taxonomy &amp; Metadata Specification</w:t>
            </w:r>
          </w:p>
        </w:tc>
        <w:tc>
          <w:tcPr>
            <w:tcW w:type="dxa" w:w="2556"/>
            <w:vAlign w:val="center"/>
            <w:tcMar>
              <w:top w:w="90" w:type="dxa"/>
              <w:start w:w="100" w:type="dxa"/>
              <w:bottom w:w="90" w:type="dxa"/>
              <w:end w:w="100" w:type="dxa"/>
            </w:tcMar>
          </w:tcPr>
          <w:p>
            <w:pPr>
              <w:spacing w:after="0"/>
            </w:pPr>
            <w:r>
              <w:rPr>
                <w:rFonts w:ascii="Aptos" w:hAnsi="Aptos"/>
                <w:sz w:val="18"/>
              </w:rPr>
              <w:t>Authoritative controlled catalogue of approved Record Types and governed Record Names; source for retention, findability and privacy-linked views.</w:t>
            </w:r>
          </w:p>
        </w:tc>
      </w:tr>
    </w:tbl>
    <w:p>
      <w:r>
        <w:t>Forms, registers, catalogues, schedules and generated views are records or supporting artefacts. They do not create additional governance layers.</w:t>
      </w:r>
    </w:p>
    <w:p>
      <w:r>
        <w:t>On issue of the revised CDI family, the Document Authoring Guide and Compliance Monitoring Procedure are superseded by the CDI Procedure. Standalone retention policies that previously created overlapping or conflicting retention rules are retired as active governance instruments; their valid requirements remain traceable source inputs until reconciled and approved at Record Name level in the Enterprise Records Catalogue and Retention &amp; Disposition View.</w:t>
      </w:r>
    </w:p>
    <w:p>
      <w:pPr>
        <w:pStyle w:val="Heading1"/>
      </w:pPr>
      <w:r>
        <w:t>5.0 INTERFACES WITH OTHER CONTROL FAMILIES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1F4E78"/>
            <w:vAlign w:val="center"/>
            <w:tcMar>
              <w:top w:w="90" w:type="dxa"/>
              <w:start w:w="100" w:type="dxa"/>
              <w:bottom w:w="90" w:type="dxa"/>
              <w:end w:w="100" w:type="dxa"/>
            </w:tcMar>
          </w:tcPr>
          <w:p>
            <w:pPr>
              <w:spacing w:after="0"/>
            </w:pPr>
            <w:r>
              <w:rPr>
                <w:rFonts w:ascii="Aptos" w:hAnsi="Aptos"/>
                <w:b/>
                <w:color w:val="FFFFFF"/>
                <w:sz w:val="18"/>
              </w:rPr>
              <w:t>Control family</w:t>
            </w:r>
          </w:p>
        </w:tc>
        <w:tc>
          <w:tcPr>
            <w:tcW w:type="dxa" w:w="3408"/>
            <w:shd w:fill="1F4E78"/>
            <w:vAlign w:val="center"/>
            <w:tcMar>
              <w:top w:w="90" w:type="dxa"/>
              <w:start w:w="100" w:type="dxa"/>
              <w:bottom w:w="90" w:type="dxa"/>
              <w:end w:w="100" w:type="dxa"/>
            </w:tcMar>
          </w:tcPr>
          <w:p>
            <w:pPr>
              <w:spacing w:after="0"/>
            </w:pPr>
            <w:r>
              <w:rPr>
                <w:rFonts w:ascii="Aptos" w:hAnsi="Aptos"/>
                <w:b/>
                <w:color w:val="FFFFFF"/>
                <w:sz w:val="18"/>
              </w:rPr>
              <w:t>Authority retained by that family</w:t>
            </w:r>
          </w:p>
        </w:tc>
        <w:tc>
          <w:tcPr>
            <w:tcW w:type="dxa" w:w="3408"/>
            <w:shd w:fill="1F4E78"/>
            <w:vAlign w:val="center"/>
            <w:tcMar>
              <w:top w:w="90" w:type="dxa"/>
              <w:start w:w="100" w:type="dxa"/>
              <w:bottom w:w="90" w:type="dxa"/>
              <w:end w:w="100" w:type="dxa"/>
            </w:tcMar>
          </w:tcPr>
          <w:p>
            <w:pPr>
              <w:spacing w:after="0"/>
            </w:pPr>
            <w:r>
              <w:rPr>
                <w:rFonts w:ascii="Aptos" w:hAnsi="Aptos"/>
                <w:b/>
                <w:color w:val="FFFFFF"/>
                <w:sz w:val="18"/>
              </w:rPr>
              <w:t>CDI relationship</w:t>
            </w:r>
          </w:p>
        </w:tc>
      </w:tr>
      <w:tr>
        <w:tc>
          <w:tcPr>
            <w:tcW w:type="dxa" w:w="3408"/>
            <w:tcMar>
              <w:top w:w="90" w:type="dxa"/>
              <w:start w:w="100" w:type="dxa"/>
              <w:bottom w:w="90" w:type="dxa"/>
              <w:end w:w="100" w:type="dxa"/>
            </w:tcMar>
            <w:vAlign w:val="center"/>
          </w:tcPr>
          <w:p>
            <w:pPr>
              <w:spacing w:after="0"/>
            </w:pPr>
            <w:r>
              <w:rPr>
                <w:rFonts w:ascii="Aptos" w:hAnsi="Aptos"/>
                <w:sz w:val="18"/>
              </w:rPr>
              <w:t>Data Protection &amp; Privacy</w:t>
            </w:r>
          </w:p>
        </w:tc>
        <w:tc>
          <w:tcPr>
            <w:tcW w:type="dxa" w:w="3408"/>
            <w:tcMar>
              <w:top w:w="90" w:type="dxa"/>
              <w:start w:w="100" w:type="dxa"/>
              <w:bottom w:w="90" w:type="dxa"/>
              <w:end w:w="100" w:type="dxa"/>
            </w:tcMar>
            <w:vAlign w:val="center"/>
          </w:tcPr>
          <w:p>
            <w:pPr>
              <w:spacing w:after="0"/>
            </w:pPr>
            <w:r>
              <w:rPr>
                <w:rFonts w:ascii="Aptos" w:hAnsi="Aptos"/>
                <w:sz w:val="18"/>
              </w:rPr>
              <w:t>Personal-data processing, lawful basis, ROPA, data-subject rights, DPIA and privacy-specific retention/lifecycle obligations.</w:t>
            </w:r>
          </w:p>
        </w:tc>
        <w:tc>
          <w:tcPr>
            <w:tcW w:type="dxa" w:w="3408"/>
            <w:tcMar>
              <w:top w:w="90" w:type="dxa"/>
              <w:start w:w="100" w:type="dxa"/>
              <w:bottom w:w="90" w:type="dxa"/>
              <w:end w:w="100" w:type="dxa"/>
            </w:tcMar>
            <w:vAlign w:val="center"/>
          </w:tcPr>
          <w:p>
            <w:pPr>
              <w:spacing w:after="0"/>
            </w:pPr>
            <w:r>
              <w:rPr>
                <w:rFonts w:ascii="Aptos" w:hAnsi="Aptos"/>
                <w:sz w:val="18"/>
              </w:rPr>
              <w:t>Records reference the applicable privacy attributes/rules; CDI does not reproduce them.</w:t>
            </w:r>
          </w:p>
        </w:tc>
      </w:tr>
      <w:tr>
        <w:tc>
          <w:tcPr>
            <w:tcW w:type="dxa" w:w="3408"/>
            <w:tcMar>
              <w:top w:w="90" w:type="dxa"/>
              <w:start w:w="100" w:type="dxa"/>
              <w:bottom w:w="90" w:type="dxa"/>
              <w:end w:w="100" w:type="dxa"/>
            </w:tcMar>
            <w:vAlign w:val="center"/>
          </w:tcPr>
          <w:p>
            <w:pPr>
              <w:spacing w:after="0"/>
            </w:pPr>
            <w:r>
              <w:rPr>
                <w:rFonts w:ascii="Aptos" w:hAnsi="Aptos"/>
                <w:sz w:val="18"/>
              </w:rPr>
              <w:t>Information Security</w:t>
            </w:r>
          </w:p>
        </w:tc>
        <w:tc>
          <w:tcPr>
            <w:tcW w:type="dxa" w:w="3408"/>
            <w:tcMar>
              <w:top w:w="90" w:type="dxa"/>
              <w:start w:w="100" w:type="dxa"/>
              <w:bottom w:w="90" w:type="dxa"/>
              <w:end w:w="100" w:type="dxa"/>
            </w:tcMar>
            <w:vAlign w:val="center"/>
          </w:tcPr>
          <w:p>
            <w:pPr>
              <w:spacing w:after="0"/>
            </w:pPr>
            <w:r>
              <w:rPr>
                <w:rFonts w:ascii="Aptos" w:hAnsi="Aptos"/>
                <w:sz w:val="18"/>
              </w:rPr>
              <w:t>Information classification, access, handling, protection and security controls.</w:t>
            </w:r>
          </w:p>
        </w:tc>
        <w:tc>
          <w:tcPr>
            <w:tcW w:type="dxa" w:w="3408"/>
            <w:tcMar>
              <w:top w:w="90" w:type="dxa"/>
              <w:start w:w="100" w:type="dxa"/>
              <w:bottom w:w="90" w:type="dxa"/>
              <w:end w:w="100" w:type="dxa"/>
            </w:tcMar>
            <w:vAlign w:val="center"/>
          </w:tcPr>
          <w:p>
            <w:pPr>
              <w:spacing w:after="0"/>
            </w:pPr>
            <w:r>
              <w:rPr>
                <w:rFonts w:ascii="Aptos" w:hAnsi="Aptos"/>
                <w:sz w:val="18"/>
              </w:rPr>
              <w:t>Records reference the approved classification and handling rules.</w:t>
            </w:r>
          </w:p>
        </w:tc>
      </w:tr>
      <w:tr>
        <w:tc>
          <w:tcPr>
            <w:tcW w:type="dxa" w:w="3408"/>
            <w:tcMar>
              <w:top w:w="90" w:type="dxa"/>
              <w:start w:w="100" w:type="dxa"/>
              <w:bottom w:w="90" w:type="dxa"/>
              <w:end w:w="100" w:type="dxa"/>
            </w:tcMar>
            <w:vAlign w:val="center"/>
          </w:tcPr>
          <w:p>
            <w:pPr>
              <w:spacing w:after="0"/>
            </w:pPr>
            <w:r>
              <w:rPr>
                <w:rFonts w:ascii="Aptos" w:hAnsi="Aptos"/>
                <w:sz w:val="18"/>
              </w:rPr>
              <w:t>Data Lifecycle &amp; Platform Governance</w:t>
            </w:r>
          </w:p>
        </w:tc>
        <w:tc>
          <w:tcPr>
            <w:tcW w:type="dxa" w:w="3408"/>
            <w:tcMar>
              <w:top w:w="90" w:type="dxa"/>
              <w:start w:w="100" w:type="dxa"/>
              <w:bottom w:w="90" w:type="dxa"/>
              <w:end w:w="100" w:type="dxa"/>
            </w:tcMar>
            <w:vAlign w:val="center"/>
          </w:tcPr>
          <w:p>
            <w:pPr>
              <w:spacing w:after="0"/>
            </w:pPr>
            <w:r>
              <w:rPr>
                <w:rFonts w:ascii="Aptos" w:hAnsi="Aptos"/>
                <w:sz w:val="18"/>
              </w:rPr>
              <w:t>Technical implementation of approved lifecycle rules across applications, databases, archives, backups, anonymisation and deletion.</w:t>
            </w:r>
          </w:p>
        </w:tc>
        <w:tc>
          <w:tcPr>
            <w:tcW w:type="dxa" w:w="3408"/>
            <w:tcMar>
              <w:top w:w="90" w:type="dxa"/>
              <w:start w:w="100" w:type="dxa"/>
              <w:bottom w:w="90" w:type="dxa"/>
              <w:end w:w="100" w:type="dxa"/>
            </w:tcMar>
            <w:vAlign w:val="center"/>
          </w:tcPr>
          <w:p>
            <w:pPr>
              <w:spacing w:after="0"/>
            </w:pPr>
            <w:r>
              <w:rPr>
                <w:rFonts w:ascii="Aptos" w:hAnsi="Aptos"/>
                <w:sz w:val="18"/>
              </w:rPr>
              <w:t>Consumes approved record/privacy/retention rules; does not invent them.</w:t>
            </w:r>
          </w:p>
        </w:tc>
      </w:tr>
      <w:tr>
        <w:tc>
          <w:tcPr>
            <w:tcW w:type="dxa" w:w="3408"/>
            <w:tcMar>
              <w:top w:w="90" w:type="dxa"/>
              <w:start w:w="100" w:type="dxa"/>
              <w:bottom w:w="90" w:type="dxa"/>
              <w:end w:w="100" w:type="dxa"/>
            </w:tcMar>
            <w:vAlign w:val="center"/>
          </w:tcPr>
          <w:p>
            <w:pPr>
              <w:spacing w:after="0"/>
            </w:pPr>
            <w:r>
              <w:rPr>
                <w:rFonts w:ascii="Aptos" w:hAnsi="Aptos"/>
                <w:sz w:val="18"/>
              </w:rPr>
              <w:t>Statutory &amp; Regulatory Compliance / LPCR</w:t>
            </w:r>
          </w:p>
        </w:tc>
        <w:tc>
          <w:tcPr>
            <w:tcW w:type="dxa" w:w="3408"/>
            <w:tcMar>
              <w:top w:w="90" w:type="dxa"/>
              <w:start w:w="100" w:type="dxa"/>
              <w:bottom w:w="90" w:type="dxa"/>
              <w:end w:w="100" w:type="dxa"/>
            </w:tcMar>
            <w:vAlign w:val="center"/>
          </w:tcPr>
          <w:p>
            <w:pPr>
              <w:spacing w:after="0"/>
            </w:pPr>
            <w:r>
              <w:rPr>
                <w:rFonts w:ascii="Aptos" w:hAnsi="Aptos"/>
                <w:sz w:val="18"/>
              </w:rPr>
              <w:t>Obligation, licence, permit and certificate lifecycle, ownership, expiry and renewal controls.</w:t>
            </w:r>
          </w:p>
        </w:tc>
        <w:tc>
          <w:tcPr>
            <w:tcW w:type="dxa" w:w="3408"/>
            <w:tcMar>
              <w:top w:w="90" w:type="dxa"/>
              <w:start w:w="100" w:type="dxa"/>
              <w:bottom w:w="90" w:type="dxa"/>
              <w:end w:w="100" w:type="dxa"/>
            </w:tcMar>
            <w:vAlign w:val="center"/>
          </w:tcPr>
          <w:p>
            <w:pPr>
              <w:spacing w:after="0"/>
            </w:pPr>
            <w:r>
              <w:rPr>
                <w:rFonts w:ascii="Aptos" w:hAnsi="Aptos"/>
                <w:sz w:val="18"/>
              </w:rPr>
              <w:t>Specialist registers such as the SRML conform to the common records grammar while remaining authoritative for their own control domain.</w:t>
            </w:r>
          </w:p>
        </w:tc>
      </w:tr>
    </w:tbl>
    <w:p>
      <w:pPr>
        <w:pStyle w:val="Heading1"/>
      </w:pPr>
      <w:r>
        <w:t>6.0 ROLES AND RESPONSIBILITIES</w:t>
      </w:r>
    </w:p>
    <w:tbl>
      <w:tblPr>
        <w:tblStyle w:val="TableGrid"/>
        <w:tblW w:type="auto" w:w="0"/>
        <w:jc w:val="center"/>
        <w:tblLook w:firstColumn="1" w:firstRow="1" w:lastColumn="0" w:lastRow="0" w:noHBand="0" w:noVBand="1" w:val="04A0"/>
      </w:tblPr>
      <w:tblGrid>
        <w:gridCol w:w="5112"/>
        <w:gridCol w:w="5112"/>
      </w:tblGrid>
      <w:tr>
        <w:tc>
          <w:tcPr>
            <w:tcW w:type="dxa" w:w="5112"/>
            <w:shd w:fill="1F4E78"/>
            <w:vAlign w:val="center"/>
            <w:tcMar>
              <w:top w:w="90" w:type="dxa"/>
              <w:start w:w="100" w:type="dxa"/>
              <w:bottom w:w="90" w:type="dxa"/>
              <w:end w:w="100" w:type="dxa"/>
            </w:tcMar>
          </w:tcPr>
          <w:p>
            <w:pPr>
              <w:spacing w:after="0"/>
            </w:pPr>
            <w:r>
              <w:rPr>
                <w:rFonts w:ascii="Aptos" w:hAnsi="Aptos"/>
                <w:b/>
                <w:color w:val="FFFFFF"/>
                <w:sz w:val="18"/>
              </w:rPr>
              <w:t>Role</w:t>
            </w:r>
          </w:p>
        </w:tc>
        <w:tc>
          <w:tcPr>
            <w:tcW w:type="dxa" w:w="5112"/>
            <w:shd w:fill="1F4E78"/>
            <w:vAlign w:val="center"/>
            <w:tcMar>
              <w:top w:w="90" w:type="dxa"/>
              <w:start w:w="100" w:type="dxa"/>
              <w:bottom w:w="90" w:type="dxa"/>
              <w:end w:w="100" w:type="dxa"/>
            </w:tcMar>
          </w:tcPr>
          <w:p>
            <w:pPr>
              <w:spacing w:after="0"/>
            </w:pPr>
            <w:r>
              <w:rPr>
                <w:rFonts w:ascii="Aptos" w:hAnsi="Aptos"/>
                <w:b/>
                <w:color w:val="FFFFFF"/>
                <w:sz w:val="18"/>
              </w:rPr>
              <w:t>Responsibility</w:t>
            </w:r>
          </w:p>
        </w:tc>
      </w:tr>
      <w:tr>
        <w:tc>
          <w:tcPr>
            <w:tcW w:type="dxa" w:w="5112"/>
            <w:tcMar>
              <w:top w:w="90" w:type="dxa"/>
              <w:start w:w="100" w:type="dxa"/>
              <w:bottom w:w="90" w:type="dxa"/>
              <w:end w:w="100" w:type="dxa"/>
            </w:tcMar>
            <w:vAlign w:val="center"/>
          </w:tcPr>
          <w:p>
            <w:pPr>
              <w:spacing w:after="0"/>
            </w:pPr>
            <w:r>
              <w:rPr>
                <w:rFonts w:ascii="Aptos" w:hAnsi="Aptos"/>
                <w:sz w:val="18"/>
              </w:rPr>
              <w:t>Chief Compliance Officer</w:t>
            </w:r>
          </w:p>
        </w:tc>
        <w:tc>
          <w:tcPr>
            <w:tcW w:type="dxa" w:w="5112"/>
            <w:tcMar>
              <w:top w:w="90" w:type="dxa"/>
              <w:start w:w="100" w:type="dxa"/>
              <w:bottom w:w="90" w:type="dxa"/>
              <w:end w:w="100" w:type="dxa"/>
            </w:tcMar>
            <w:vAlign w:val="center"/>
          </w:tcPr>
          <w:p>
            <w:pPr>
              <w:spacing w:after="0"/>
            </w:pPr>
            <w:r>
              <w:rPr>
                <w:rFonts w:ascii="Aptos" w:hAnsi="Aptos"/>
                <w:sz w:val="18"/>
              </w:rPr>
              <w:t>Owns the CDI domain, assures coherence of the CDI family and approves subordinate controls in accordance with the domain approval route.</w:t>
            </w:r>
          </w:p>
        </w:tc>
      </w:tr>
      <w:tr>
        <w:tc>
          <w:tcPr>
            <w:tcW w:type="dxa" w:w="5112"/>
            <w:tcMar>
              <w:top w:w="90" w:type="dxa"/>
              <w:start w:w="100" w:type="dxa"/>
              <w:bottom w:w="90" w:type="dxa"/>
              <w:end w:w="100" w:type="dxa"/>
            </w:tcMar>
            <w:vAlign w:val="center"/>
          </w:tcPr>
          <w:p>
            <w:pPr>
              <w:spacing w:after="0"/>
            </w:pPr>
            <w:r>
              <w:rPr>
                <w:rFonts w:ascii="Aptos" w:hAnsi="Aptos"/>
                <w:sz w:val="18"/>
              </w:rPr>
              <w:t>Compliance Team</w:t>
            </w:r>
          </w:p>
        </w:tc>
        <w:tc>
          <w:tcPr>
            <w:tcW w:type="dxa" w:w="5112"/>
            <w:tcMar>
              <w:top w:w="90" w:type="dxa"/>
              <w:start w:w="100" w:type="dxa"/>
              <w:bottom w:w="90" w:type="dxa"/>
              <w:end w:w="100" w:type="dxa"/>
            </w:tcMar>
            <w:vAlign w:val="center"/>
          </w:tcPr>
          <w:p>
            <w:pPr>
              <w:spacing w:after="0"/>
            </w:pPr>
            <w:r>
              <w:rPr>
                <w:rFonts w:ascii="Aptos" w:hAnsi="Aptos"/>
                <w:sz w:val="18"/>
              </w:rPr>
              <w:t>Maintains the CDI family, validates hierarchy and parentage, coordinates records-governance regularisation, maintains the Document Register and checks for duplication or conflicting authority.</w:t>
            </w:r>
          </w:p>
        </w:tc>
      </w:tr>
      <w:tr>
        <w:tc>
          <w:tcPr>
            <w:tcW w:type="dxa" w:w="5112"/>
            <w:tcMar>
              <w:top w:w="90" w:type="dxa"/>
              <w:start w:w="100" w:type="dxa"/>
              <w:bottom w:w="90" w:type="dxa"/>
              <w:end w:w="100" w:type="dxa"/>
            </w:tcMar>
            <w:vAlign w:val="center"/>
          </w:tcPr>
          <w:p>
            <w:pPr>
              <w:spacing w:after="0"/>
            </w:pPr>
            <w:r>
              <w:rPr>
                <w:rFonts w:ascii="Aptos" w:hAnsi="Aptos"/>
                <w:sz w:val="18"/>
              </w:rPr>
              <w:t>Information Security Officer</w:t>
            </w:r>
          </w:p>
        </w:tc>
        <w:tc>
          <w:tcPr>
            <w:tcW w:type="dxa" w:w="5112"/>
            <w:tcMar>
              <w:top w:w="90" w:type="dxa"/>
              <w:start w:w="100" w:type="dxa"/>
              <w:bottom w:w="90" w:type="dxa"/>
              <w:end w:w="100" w:type="dxa"/>
            </w:tcMar>
            <w:vAlign w:val="center"/>
          </w:tcPr>
          <w:p>
            <w:pPr>
              <w:spacing w:after="0"/>
            </w:pPr>
            <w:r>
              <w:rPr>
                <w:rFonts w:ascii="Aptos" w:hAnsi="Aptos"/>
                <w:sz w:val="18"/>
              </w:rPr>
              <w:t>Confirms information-security alignment and supports control of information classification and protected records within the ISMS.</w:t>
            </w:r>
          </w:p>
        </w:tc>
      </w:tr>
      <w:tr>
        <w:tc>
          <w:tcPr>
            <w:tcW w:type="dxa" w:w="5112"/>
            <w:tcMar>
              <w:top w:w="90" w:type="dxa"/>
              <w:start w:w="100" w:type="dxa"/>
              <w:bottom w:w="90" w:type="dxa"/>
              <w:end w:w="100" w:type="dxa"/>
            </w:tcMar>
            <w:vAlign w:val="center"/>
          </w:tcPr>
          <w:p>
            <w:pPr>
              <w:spacing w:after="0"/>
            </w:pPr>
            <w:r>
              <w:rPr>
                <w:rFonts w:ascii="Aptos" w:hAnsi="Aptos"/>
                <w:sz w:val="18"/>
              </w:rPr>
              <w:t>Document / Control Owners</w:t>
            </w:r>
          </w:p>
        </w:tc>
        <w:tc>
          <w:tcPr>
            <w:tcW w:type="dxa" w:w="5112"/>
            <w:tcMar>
              <w:top w:w="90" w:type="dxa"/>
              <w:start w:w="100" w:type="dxa"/>
              <w:bottom w:w="90" w:type="dxa"/>
              <w:end w:w="100" w:type="dxa"/>
            </w:tcMar>
            <w:vAlign w:val="center"/>
          </w:tcPr>
          <w:p>
            <w:pPr>
              <w:spacing w:after="0"/>
            </w:pPr>
            <w:r>
              <w:rPr>
                <w:rFonts w:ascii="Aptos" w:hAnsi="Aptos"/>
                <w:sz w:val="18"/>
              </w:rPr>
              <w:t>Apply the CDI Procedure, define controls and evidence at the correct layer, and reference approved record and specialist governance rules rather than create parallel local rules.</w:t>
            </w:r>
          </w:p>
        </w:tc>
      </w:tr>
      <w:tr>
        <w:tc>
          <w:tcPr>
            <w:tcW w:type="dxa" w:w="5112"/>
            <w:tcMar>
              <w:top w:w="90" w:type="dxa"/>
              <w:start w:w="100" w:type="dxa"/>
              <w:bottom w:w="90" w:type="dxa"/>
              <w:end w:w="100" w:type="dxa"/>
            </w:tcMar>
            <w:vAlign w:val="center"/>
          </w:tcPr>
          <w:p>
            <w:pPr>
              <w:spacing w:after="0"/>
            </w:pPr>
            <w:r>
              <w:rPr>
                <w:rFonts w:ascii="Aptos" w:hAnsi="Aptos"/>
                <w:sz w:val="18"/>
              </w:rPr>
              <w:t>All Staff</w:t>
            </w:r>
          </w:p>
        </w:tc>
        <w:tc>
          <w:tcPr>
            <w:tcW w:type="dxa" w:w="5112"/>
            <w:tcMar>
              <w:top w:w="90" w:type="dxa"/>
              <w:start w:w="100" w:type="dxa"/>
              <w:bottom w:w="90" w:type="dxa"/>
              <w:end w:w="100" w:type="dxa"/>
            </w:tcMar>
            <w:vAlign w:val="center"/>
          </w:tcPr>
          <w:p>
            <w:pPr>
              <w:spacing w:after="0"/>
            </w:pPr>
            <w:r>
              <w:rPr>
                <w:rFonts w:ascii="Aptos" w:hAnsi="Aptos"/>
                <w:sz w:val="18"/>
              </w:rPr>
              <w:t>Use only current controlled documents, preserve authoritative records and comply with applicable record, classification, privacy and security requirements.</w:t>
            </w:r>
          </w:p>
        </w:tc>
      </w:tr>
    </w:tbl>
    <w:p>
      <w:pPr>
        <w:pStyle w:val="Heading1"/>
      </w:pPr>
      <w:r>
        <w:t>7.0 REVIEW CYCLE</w:t>
      </w:r>
    </w:p>
    <w:p>
      <w:r>
        <w:t>This Policy is reviewed at least annually and sooner where a material change in the management system, law, regulation, organisational structure, records architecture, technology or a significant nonconformity/incident affects its continued suitability.</w:t>
      </w:r>
    </w:p>
    <w:p>
      <w:pPr>
        <w:pStyle w:val="Heading1"/>
      </w:pPr>
      <w:r>
        <w:t>8.0 RELATED DOCUMENTS</w:t>
      </w:r>
    </w:p>
    <w:p>
      <w:pPr>
        <w:pStyle w:val="Heading1"/>
      </w:pPr>
      <w:r>
        <w:t>Retired and superseded source instruments are recorded in the Records Governance Family Transition &amp; Retirement Schedule. Their substantive requirements remain traceable during migration so that no legal, regulatory, contractual or approved business retention obligation is lost merely because the legacy policy instrument is retired.</w:t>
      </w:r>
    </w:p>
    <w:p>
      <w:pPr>
        <w:pStyle w:val="ListBullet"/>
      </w:pPr>
      <w:r>
        <w:t>Master Integrated Management System Policy (parent).</w:t>
      </w:r>
    </w:p>
    <w:p>
      <w:pPr>
        <w:pStyle w:val="ListBullet"/>
      </w:pPr>
      <w:r>
        <w:t>Control of Documented Information Procedure.</w:t>
      </w:r>
    </w:p>
    <w:p>
      <w:pPr>
        <w:pStyle w:val="ListBullet"/>
      </w:pPr>
      <w:r>
        <w:t>Information &amp; Records Governance Standard.</w:t>
      </w:r>
    </w:p>
    <w:p>
      <w:pPr>
        <w:pStyle w:val="ListBullet"/>
      </w:pPr>
      <w:r>
        <w:t>Records Taxonomy &amp; Metadata Specification.</w:t>
      </w:r>
    </w:p>
    <w:p>
      <w:r>
        <w:t>Enterprise Records Catalogue.</w:t>
      </w:r>
    </w:p>
    <w:p>
      <w:pPr>
        <w:pStyle w:val="ListBullet"/>
      </w:pPr>
      <w:r>
        <w:t>Data Protection &amp; Privacy Policy and Data Protection Standard.</w:t>
      </w:r>
    </w:p>
    <w:p>
      <w:pPr>
        <w:pStyle w:val="ListBullet"/>
      </w:pPr>
      <w:r>
        <w:t>Information Classification control.</w:t>
      </w:r>
    </w:p>
    <w:p>
      <w:pPr>
        <w:pStyle w:val="ListBullet"/>
      </w:pPr>
      <w:r>
        <w:t>Applicable statutory/regulatory and data-lifecycle controls.</w:t>
      </w:r>
    </w:p>
    <w:p>
      <w:pPr>
        <w:pStyle w:val="Heading1"/>
      </w:pPr>
      <w:r>
        <w:t>9.0 STANDARDS ALIGNMENT</w:t>
      </w:r>
    </w:p>
    <w:p>
      <w:r>
        <w:t>This Policy supports ISO 9001:2015 Clause 7.5 (Documented Information) and ISO/IEC 27001:2022 Clause 7.5 and Annex A controls A.5.33 (Protection of records), A.5.34 (Privacy and protection of PII) and A.5.37 (Documented operating procedures).</w:t>
      </w:r>
    </w:p>
    <w:sectPr w:rsidR="00FC693F" w:rsidRPr="0006063C" w:rsidSect="00034616">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4"/>
      </w:rPr>
      <w:t>Property of Dragnet Solutions -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w:hAnsi="Aptos"/>
      <w:b/>
      <w:bCs/>
      <w:color w:val="8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800000"/>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8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