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CONTROL OF DOCUMENTED INFORMATION</w:t>
      </w:r>
    </w:p>
    <w:p>
      <w:pPr>
        <w:jc w:val="center"/>
      </w:pPr>
      <w:r>
        <w:rPr>
          <w:b/>
          <w:color w:val="666666"/>
          <w:sz w:val="20"/>
        </w:rPr>
        <w:t>QIMS Procedure - Consolidated authoring, evidence and control-monitoring rules</w:t>
      </w:r>
    </w:p>
    <w:tbl>
      <w:tblPr>
        <w:tblW w:type="auto" w:w="0"/>
        <w:jc w:val="center"/>
        <w:tblLayout w:type="fixed"/>
        <w:tblLook w:firstColumn="1" w:firstRow="1" w:lastColumn="0" w:lastRow="0" w:noHBand="0" w:noVBand="1" w:val="04A0"/>
      </w:tblPr>
      <w:tblGrid>
        <w:gridCol w:w="3168"/>
        <w:gridCol w:w="7200"/>
      </w:tblGrid>
      <w:tr>
        <w:tc>
          <w:tcPr>
            <w:tcW w:type="dxa" w:w="3168"/>
            <w:shd w:fill="D9EAF7"/>
            <w:vAlign w:val="center"/>
            <w:tcMar>
              <w:top w:w="90" w:type="dxa"/>
              <w:start w:w="100" w:type="dxa"/>
              <w:bottom w:w="90" w:type="dxa"/>
              <w:end w:w="100" w:type="dxa"/>
            </w:tcMar>
          </w:tcPr>
          <w:p>
            <w:pPr>
              <w:spacing w:after="0"/>
            </w:pPr>
            <w:r>
              <w:rPr>
                <w:rFonts w:ascii="Aptos" w:hAnsi="Aptos"/>
                <w:b/>
                <w:sz w:val="18"/>
              </w:rPr>
              <w:t>Document Title</w:t>
            </w:r>
          </w:p>
        </w:tc>
        <w:tc>
          <w:tcPr>
            <w:tcW w:type="dxa" w:w="7200"/>
            <w:vAlign w:val="center"/>
            <w:tcMar>
              <w:top w:w="90" w:type="dxa"/>
              <w:start w:w="100" w:type="dxa"/>
              <w:bottom w:w="90" w:type="dxa"/>
              <w:end w:w="100" w:type="dxa"/>
            </w:tcMar>
          </w:tcPr>
          <w:p>
            <w:pPr>
              <w:spacing w:after="0"/>
            </w:pPr>
            <w:r>
              <w:rPr>
                <w:rFonts w:ascii="Aptos" w:hAnsi="Aptos"/>
                <w:sz w:val="18"/>
              </w:rPr>
              <w:t>Control of Documented Information Procedure</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Document Code</w:t>
            </w:r>
          </w:p>
        </w:tc>
        <w:tc>
          <w:tcPr>
            <w:tcW w:type="dxa" w:w="7200"/>
            <w:vAlign w:val="center"/>
            <w:tcMar>
              <w:top w:w="90" w:type="dxa"/>
              <w:start w:w="100" w:type="dxa"/>
              <w:bottom w:w="90" w:type="dxa"/>
              <w:end w:w="100" w:type="dxa"/>
            </w:tcMar>
          </w:tcPr>
          <w:p>
            <w:pPr>
              <w:spacing w:after="0"/>
            </w:pPr>
            <w:r>
              <w:rPr>
                <w:rFonts w:ascii="Aptos" w:hAnsi="Aptos"/>
                <w:sz w:val="18"/>
              </w:rPr>
              <w:t>DRG-QI-PRO-CDI</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Document Type / Layer</w:t>
            </w:r>
          </w:p>
        </w:tc>
        <w:tc>
          <w:tcPr>
            <w:tcW w:type="dxa" w:w="7200"/>
            <w:vAlign w:val="center"/>
            <w:tcMar>
              <w:top w:w="90" w:type="dxa"/>
              <w:start w:w="100" w:type="dxa"/>
              <w:bottom w:w="90" w:type="dxa"/>
              <w:end w:w="100" w:type="dxa"/>
            </w:tcMar>
          </w:tcPr>
          <w:p>
            <w:pPr>
              <w:spacing w:after="0"/>
            </w:pPr>
            <w:r>
              <w:rPr>
                <w:rFonts w:ascii="Aptos" w:hAnsi="Aptos"/>
                <w:sz w:val="18"/>
              </w:rPr>
              <w:t>Procedure (Layer 4)</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Domain</w:t>
            </w:r>
          </w:p>
        </w:tc>
        <w:tc>
          <w:tcPr>
            <w:tcW w:type="dxa" w:w="7200"/>
            <w:vAlign w:val="center"/>
            <w:tcMar>
              <w:top w:w="90" w:type="dxa"/>
              <w:start w:w="100" w:type="dxa"/>
              <w:bottom w:w="90" w:type="dxa"/>
              <w:end w:w="100" w:type="dxa"/>
            </w:tcMar>
          </w:tcPr>
          <w:p>
            <w:pPr>
              <w:spacing w:after="0"/>
            </w:pPr>
            <w:r>
              <w:rPr>
                <w:rFonts w:ascii="Aptos" w:hAnsi="Aptos"/>
                <w:sz w:val="18"/>
              </w:rPr>
              <w:t>Quality &amp; Compliance</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Parent Document</w:t>
            </w:r>
          </w:p>
        </w:tc>
        <w:tc>
          <w:tcPr>
            <w:tcW w:type="dxa" w:w="7200"/>
            <w:vAlign w:val="center"/>
            <w:tcMar>
              <w:top w:w="90" w:type="dxa"/>
              <w:start w:w="100" w:type="dxa"/>
              <w:bottom w:w="90" w:type="dxa"/>
              <w:end w:w="100" w:type="dxa"/>
            </w:tcMar>
          </w:tcPr>
          <w:p>
            <w:pPr>
              <w:spacing w:after="0"/>
            </w:pPr>
            <w:r>
              <w:rPr>
                <w:rFonts w:ascii="Aptos" w:hAnsi="Aptos"/>
                <w:sz w:val="18"/>
              </w:rPr>
              <w:t>Control of Documented Information Policy (Layer 2)</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Classification</w:t>
            </w:r>
          </w:p>
        </w:tc>
        <w:tc>
          <w:tcPr>
            <w:tcW w:type="dxa" w:w="7200"/>
            <w:vAlign w:val="center"/>
            <w:tcMar>
              <w:top w:w="90" w:type="dxa"/>
              <w:start w:w="100" w:type="dxa"/>
              <w:bottom w:w="90" w:type="dxa"/>
              <w:end w:w="100" w:type="dxa"/>
            </w:tcMar>
          </w:tcPr>
          <w:p>
            <w:pPr>
              <w:spacing w:after="0"/>
            </w:pPr>
            <w:r>
              <w:rPr>
                <w:rFonts w:ascii="Aptos" w:hAnsi="Aptos"/>
                <w:sz w:val="18"/>
              </w:rPr>
              <w:t>Internal use only</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Distribution</w:t>
            </w:r>
          </w:p>
        </w:tc>
        <w:tc>
          <w:tcPr>
            <w:tcW w:type="dxa" w:w="7200"/>
            <w:vAlign w:val="center"/>
            <w:tcMar>
              <w:top w:w="90" w:type="dxa"/>
              <w:start w:w="100" w:type="dxa"/>
              <w:bottom w:w="90" w:type="dxa"/>
              <w:end w:w="100" w:type="dxa"/>
            </w:tcMar>
          </w:tcPr>
          <w:p>
            <w:pPr>
              <w:spacing w:after="0"/>
            </w:pPr>
            <w:r>
              <w:rPr>
                <w:rFonts w:ascii="Aptos" w:hAnsi="Aptos"/>
                <w:sz w:val="18"/>
              </w:rPr>
              <w:t>All staff</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Owner</w:t>
            </w:r>
          </w:p>
        </w:tc>
        <w:tc>
          <w:tcPr>
            <w:tcW w:type="dxa" w:w="7200"/>
            <w:vAlign w:val="center"/>
            <w:tcMar>
              <w:top w:w="90" w:type="dxa"/>
              <w:start w:w="100" w:type="dxa"/>
              <w:bottom w:w="90" w:type="dxa"/>
              <w:end w:w="100" w:type="dxa"/>
            </w:tcMar>
          </w:tcPr>
          <w:p>
            <w:pPr>
              <w:spacing w:after="0"/>
            </w:pPr>
            <w:r>
              <w:rPr>
                <w:rFonts w:ascii="Aptos" w:hAnsi="Aptos"/>
                <w:sz w:val="18"/>
              </w:rPr>
              <w:t>Compliance Senior Executive</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First Pass Approval</w:t>
            </w:r>
          </w:p>
        </w:tc>
        <w:tc>
          <w:tcPr>
            <w:tcW w:type="dxa" w:w="7200"/>
            <w:vAlign w:val="center"/>
            <w:tcMar>
              <w:top w:w="90" w:type="dxa"/>
              <w:start w:w="100" w:type="dxa"/>
              <w:bottom w:w="90" w:type="dxa"/>
              <w:end w:w="100" w:type="dxa"/>
            </w:tcMar>
          </w:tcPr>
          <w:p>
            <w:pPr>
              <w:spacing w:after="0"/>
            </w:pPr>
            <w:r>
              <w:rPr>
                <w:rFonts w:ascii="Aptos" w:hAnsi="Aptos"/>
                <w:sz w:val="18"/>
              </w:rPr>
              <w:t>Compliance Senior Executive</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Final Approval</w:t>
            </w:r>
          </w:p>
        </w:tc>
        <w:tc>
          <w:tcPr>
            <w:tcW w:type="dxa" w:w="7200"/>
            <w:vAlign w:val="center"/>
            <w:tcMar>
              <w:top w:w="90" w:type="dxa"/>
              <w:start w:w="100" w:type="dxa"/>
              <w:bottom w:w="90" w:type="dxa"/>
              <w:end w:w="100" w:type="dxa"/>
            </w:tcMar>
          </w:tcPr>
          <w:p>
            <w:pPr>
              <w:spacing w:after="0"/>
            </w:pPr>
            <w:r>
              <w:rPr>
                <w:rFonts w:ascii="Aptos" w:hAnsi="Aptos"/>
                <w:sz w:val="18"/>
              </w:rPr>
              <w:t>Chief Compliance Officer</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Version</w:t>
            </w:r>
          </w:p>
        </w:tc>
        <w:tc>
          <w:tcPr>
            <w:tcW w:type="dxa" w:w="7200"/>
            <w:vAlign w:val="center"/>
            <w:tcMar>
              <w:top w:w="90" w:type="dxa"/>
              <w:start w:w="100" w:type="dxa"/>
              <w:bottom w:w="90" w:type="dxa"/>
              <w:end w:w="100" w:type="dxa"/>
            </w:tcMar>
          </w:tcPr>
          <w:p>
            <w:pPr>
              <w:spacing w:after="0"/>
            </w:pPr>
            <w:r>
              <w:rPr>
                <w:rFonts w:ascii="Aptos" w:hAnsi="Aptos"/>
                <w:sz w:val="18"/>
              </w:rPr>
              <w:t>Draft</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Proposed Issue</w:t>
            </w:r>
          </w:p>
        </w:tc>
        <w:tc>
          <w:tcPr>
            <w:tcW w:type="dxa" w:w="7200"/>
            <w:vAlign w:val="center"/>
            <w:tcMar>
              <w:top w:w="90" w:type="dxa"/>
              <w:start w:w="100" w:type="dxa"/>
              <w:bottom w:w="90" w:type="dxa"/>
              <w:end w:w="100" w:type="dxa"/>
            </w:tcMar>
          </w:tcPr>
          <w:p>
            <w:pPr>
              <w:spacing w:after="0"/>
            </w:pPr>
            <w:r>
              <w:rPr>
                <w:rFonts w:ascii="Aptos" w:hAnsi="Aptos"/>
                <w:sz w:val="18"/>
              </w:rPr>
              <w:t>September 2026</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Next Review Due</w:t>
            </w:r>
          </w:p>
        </w:tc>
        <w:tc>
          <w:tcPr>
            <w:tcW w:type="dxa" w:w="7200"/>
            <w:vAlign w:val="center"/>
            <w:tcMar>
              <w:top w:w="90" w:type="dxa"/>
              <w:start w:w="100" w:type="dxa"/>
              <w:bottom w:w="90" w:type="dxa"/>
              <w:end w:w="100" w:type="dxa"/>
            </w:tcMar>
          </w:tcPr>
          <w:p>
            <w:pPr>
              <w:spacing w:after="0"/>
            </w:pPr>
            <w:r>
              <w:rPr>
                <w:rFonts w:ascii="Aptos" w:hAnsi="Aptos"/>
                <w:sz w:val="18"/>
              </w:rPr>
              <w:t>Twelve months from issue</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Supersedes</w:t>
            </w:r>
          </w:p>
        </w:tc>
        <w:tc>
          <w:tcPr>
            <w:tcW w:type="dxa" w:w="7200"/>
            <w:vAlign w:val="center"/>
            <w:tcMar>
              <w:top w:w="90" w:type="dxa"/>
              <w:start w:w="100" w:type="dxa"/>
              <w:bottom w:w="90" w:type="dxa"/>
              <w:end w:w="100" w:type="dxa"/>
            </w:tcMar>
          </w:tcPr>
          <w:p>
            <w:pPr>
              <w:spacing w:after="0"/>
            </w:pPr>
            <w:r>
              <w:rPr>
                <w:rFonts w:ascii="Aptos" w:hAnsi="Aptos"/>
                <w:sz w:val="18"/>
              </w:rPr>
              <w:t>CDI Procedure v06; Document Authoring Guide DRG-QI-GDL-DAG-01-26; Compliance Monitoring Procedure DRG-QI-PRO-CM-01-26, subject to formal retirement on issue</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ISO 9001:2015</w:t>
            </w:r>
          </w:p>
        </w:tc>
        <w:tc>
          <w:tcPr>
            <w:tcW w:type="dxa" w:w="7200"/>
            <w:vAlign w:val="center"/>
            <w:tcMar>
              <w:top w:w="90" w:type="dxa"/>
              <w:start w:w="100" w:type="dxa"/>
              <w:bottom w:w="90" w:type="dxa"/>
              <w:end w:w="100" w:type="dxa"/>
            </w:tcMar>
          </w:tcPr>
          <w:p>
            <w:pPr>
              <w:spacing w:after="0"/>
            </w:pPr>
            <w:r>
              <w:rPr>
                <w:rFonts w:ascii="Aptos" w:hAnsi="Aptos"/>
                <w:sz w:val="18"/>
              </w:rPr>
              <w:t>Clause 7.5; Clause 9.1</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ISO 27001:2022</w:t>
            </w:r>
          </w:p>
        </w:tc>
        <w:tc>
          <w:tcPr>
            <w:tcW w:type="dxa" w:w="7200"/>
            <w:vAlign w:val="center"/>
            <w:tcMar>
              <w:top w:w="90" w:type="dxa"/>
              <w:start w:w="100" w:type="dxa"/>
              <w:bottom w:w="90" w:type="dxa"/>
              <w:end w:w="100" w:type="dxa"/>
            </w:tcMar>
          </w:tcPr>
          <w:p>
            <w:pPr>
              <w:spacing w:after="0"/>
            </w:pPr>
            <w:r>
              <w:rPr>
                <w:rFonts w:ascii="Aptos" w:hAnsi="Aptos"/>
                <w:sz w:val="18"/>
              </w:rPr>
              <w:t>Clause 7.5; Clause 9.1; Annex A.5.33, A.5.34, A.5.37</w:t>
            </w:r>
          </w:p>
        </w:tc>
      </w:tr>
    </w:tbl>
    <w:p/>
    <w:p>
      <w:pPr>
        <w:pStyle w:val="Heading1"/>
      </w:pPr>
      <w:r>
        <w:t>REVISION HISTORY</w:t>
      </w:r>
    </w:p>
    <w:tbl>
      <w:tblPr>
        <w:tblW w:type="auto" w:w="0"/>
        <w:jc w:val="center"/>
        <w:tblLayout w:type="fixed"/>
        <w:tblLook w:firstColumn="1" w:firstRow="1" w:lastColumn="0" w:lastRow="0" w:noHBand="0" w:noVBand="1" w:val="04A0"/>
      </w:tblPr>
      <w:tblGrid>
        <w:gridCol w:w="1152"/>
        <w:gridCol w:w="1512"/>
        <w:gridCol w:w="6624"/>
        <w:gridCol w:w="1656"/>
      </w:tblGrid>
      <w:tr>
        <w:tc>
          <w:tcPr>
            <w:tcW w:type="dxa" w:w="2541"/>
            <w:shd w:fill="17365D"/>
            <w:vAlign w:val="center"/>
            <w:tcMar>
              <w:top w:w="90" w:type="dxa"/>
              <w:start w:w="100" w:type="dxa"/>
              <w:bottom w:w="90" w:type="dxa"/>
              <w:end w:w="100" w:type="dxa"/>
            </w:tcMar>
          </w:tcPr>
          <w:p>
            <w:pPr>
              <w:spacing w:after="0"/>
            </w:pPr>
            <w:r>
              <w:rPr>
                <w:rFonts w:ascii="Aptos" w:hAnsi="Aptos"/>
                <w:b/>
                <w:color w:val="FFFFFF"/>
                <w:sz w:val="18"/>
              </w:rPr>
              <w:t>Version</w:t>
            </w:r>
          </w:p>
        </w:tc>
        <w:tc>
          <w:tcPr>
            <w:tcW w:type="dxa" w:w="2541"/>
            <w:shd w:fill="17365D"/>
            <w:vAlign w:val="center"/>
            <w:tcMar>
              <w:top w:w="90" w:type="dxa"/>
              <w:start w:w="100" w:type="dxa"/>
              <w:bottom w:w="90" w:type="dxa"/>
              <w:end w:w="100" w:type="dxa"/>
            </w:tcMar>
          </w:tcPr>
          <w:p>
            <w:pPr>
              <w:spacing w:after="0"/>
            </w:pPr>
            <w:r>
              <w:rPr>
                <w:rFonts w:ascii="Aptos" w:hAnsi="Aptos"/>
                <w:b/>
                <w:color w:val="FFFFFF"/>
                <w:sz w:val="18"/>
              </w:rPr>
              <w:t>Date</w:t>
            </w:r>
          </w:p>
        </w:tc>
        <w:tc>
          <w:tcPr>
            <w:tcW w:type="dxa" w:w="2541"/>
            <w:shd w:fill="17365D"/>
            <w:vAlign w:val="center"/>
            <w:tcMar>
              <w:top w:w="90" w:type="dxa"/>
              <w:start w:w="100" w:type="dxa"/>
              <w:bottom w:w="90" w:type="dxa"/>
              <w:end w:w="100" w:type="dxa"/>
            </w:tcMar>
          </w:tcPr>
          <w:p>
            <w:pPr>
              <w:spacing w:after="0"/>
            </w:pPr>
            <w:r>
              <w:rPr>
                <w:rFonts w:ascii="Aptos" w:hAnsi="Aptos"/>
                <w:b/>
                <w:color w:val="FFFFFF"/>
                <w:sz w:val="18"/>
              </w:rPr>
              <w:t>Purpose</w:t>
            </w:r>
          </w:p>
        </w:tc>
        <w:tc>
          <w:tcPr>
            <w:tcW w:type="dxa" w:w="2541"/>
            <w:shd w:fill="17365D"/>
            <w:vAlign w:val="center"/>
            <w:tcMar>
              <w:top w:w="90" w:type="dxa"/>
              <w:start w:w="100" w:type="dxa"/>
              <w:bottom w:w="90" w:type="dxa"/>
              <w:end w:w="100" w:type="dxa"/>
            </w:tcMar>
          </w:tcPr>
          <w:p>
            <w:pPr>
              <w:spacing w:after="0"/>
            </w:pPr>
            <w:r>
              <w:rPr>
                <w:rFonts w:ascii="Aptos" w:hAnsi="Aptos"/>
                <w:b/>
                <w:color w:val="FFFFFF"/>
                <w:sz w:val="18"/>
              </w:rPr>
              <w:t>Approved By</w:t>
            </w:r>
          </w:p>
        </w:tc>
      </w:tr>
      <w:tr>
        <w:tc>
          <w:tcPr>
            <w:tcW w:type="dxa" w:w="1152"/>
            <w:tcMar>
              <w:top w:w="90" w:type="dxa"/>
              <w:start w:w="100" w:type="dxa"/>
              <w:bottom w:w="90" w:type="dxa"/>
              <w:end w:w="100" w:type="dxa"/>
            </w:tcMar>
            <w:vAlign w:val="center"/>
          </w:tcPr>
          <w:p>
            <w:pPr>
              <w:spacing w:after="0"/>
            </w:pPr>
            <w:r>
              <w:rPr>
                <w:rFonts w:ascii="Aptos" w:hAnsi="Aptos"/>
                <w:sz w:val="18"/>
              </w:rPr>
              <w:t>00-04</w:t>
            </w:r>
          </w:p>
        </w:tc>
        <w:tc>
          <w:tcPr>
            <w:tcW w:type="dxa" w:w="1512"/>
            <w:tcMar>
              <w:top w:w="90" w:type="dxa"/>
              <w:start w:w="100" w:type="dxa"/>
              <w:bottom w:w="90" w:type="dxa"/>
              <w:end w:w="100" w:type="dxa"/>
            </w:tcMar>
            <w:vAlign w:val="center"/>
          </w:tcPr>
          <w:p>
            <w:pPr>
              <w:spacing w:after="0"/>
            </w:pPr>
            <w:r>
              <w:rPr>
                <w:rFonts w:ascii="Aptos" w:hAnsi="Aptos"/>
                <w:sz w:val="18"/>
              </w:rPr>
              <w:t>Jun 2024-Aug 2025</w:t>
            </w:r>
          </w:p>
        </w:tc>
        <w:tc>
          <w:tcPr>
            <w:tcW w:type="dxa" w:w="6624"/>
            <w:tcMar>
              <w:top w:w="90" w:type="dxa"/>
              <w:start w:w="100" w:type="dxa"/>
              <w:bottom w:w="90" w:type="dxa"/>
              <w:end w:w="100" w:type="dxa"/>
            </w:tcMar>
            <w:vAlign w:val="center"/>
          </w:tcPr>
          <w:p>
            <w:pPr>
              <w:spacing w:after="0"/>
            </w:pPr>
            <w:r>
              <w:rPr>
                <w:rFonts w:ascii="Aptos" w:hAnsi="Aptos"/>
                <w:sz w:val="18"/>
              </w:rPr>
              <w:t>Issued for review, approval and use. Superseded by v05.</w:t>
            </w:r>
          </w:p>
        </w:tc>
        <w:tc>
          <w:tcPr>
            <w:tcW w:type="dxa" w:w="1656"/>
            <w:tcMar>
              <w:top w:w="90" w:type="dxa"/>
              <w:start w:w="100" w:type="dxa"/>
              <w:bottom w:w="90" w:type="dxa"/>
              <w:end w:w="100" w:type="dxa"/>
            </w:tcMar>
            <w:vAlign w:val="center"/>
          </w:tcPr>
          <w:p>
            <w:pPr>
              <w:spacing w:after="0"/>
            </w:pPr>
            <w:r>
              <w:rPr>
                <w:rFonts w:ascii="Aptos" w:hAnsi="Aptos"/>
                <w:sz w:val="18"/>
              </w:rPr>
              <w:t>MD / CEO</w:t>
            </w:r>
          </w:p>
        </w:tc>
      </w:tr>
      <w:tr>
        <w:tc>
          <w:tcPr>
            <w:tcW w:type="dxa" w:w="1152"/>
            <w:tcMar>
              <w:top w:w="90" w:type="dxa"/>
              <w:start w:w="100" w:type="dxa"/>
              <w:bottom w:w="90" w:type="dxa"/>
              <w:end w:w="100" w:type="dxa"/>
            </w:tcMar>
            <w:vAlign w:val="center"/>
          </w:tcPr>
          <w:p>
            <w:pPr>
              <w:spacing w:after="0"/>
            </w:pPr>
            <w:r>
              <w:rPr>
                <w:rFonts w:ascii="Aptos" w:hAnsi="Aptos"/>
                <w:sz w:val="18"/>
              </w:rPr>
              <w:t>05</w:t>
            </w:r>
          </w:p>
        </w:tc>
        <w:tc>
          <w:tcPr>
            <w:tcW w:type="dxa" w:w="1512"/>
            <w:tcMar>
              <w:top w:w="90" w:type="dxa"/>
              <w:start w:w="100" w:type="dxa"/>
              <w:bottom w:w="90" w:type="dxa"/>
              <w:end w:w="100" w:type="dxa"/>
            </w:tcMar>
            <w:vAlign w:val="center"/>
          </w:tcPr>
          <w:p>
            <w:pPr>
              <w:spacing w:after="0"/>
            </w:pPr>
            <w:r>
              <w:rPr>
                <w:rFonts w:ascii="Aptos" w:hAnsi="Aptos"/>
                <w:sz w:val="18"/>
              </w:rPr>
              <w:t>Jun 2026</w:t>
            </w:r>
          </w:p>
        </w:tc>
        <w:tc>
          <w:tcPr>
            <w:tcW w:type="dxa" w:w="6624"/>
            <w:tcMar>
              <w:top w:w="90" w:type="dxa"/>
              <w:start w:w="100" w:type="dxa"/>
              <w:bottom w:w="90" w:type="dxa"/>
              <w:end w:w="100" w:type="dxa"/>
            </w:tcMar>
            <w:vAlign w:val="center"/>
          </w:tcPr>
          <w:p>
            <w:pPr>
              <w:spacing w:after="0"/>
            </w:pPr>
            <w:r>
              <w:rPr>
                <w:rFonts w:ascii="Aptos" w:hAnsi="Aptos"/>
                <w:sz w:val="18"/>
              </w:rPr>
              <w:t>Full rewrite introducing the four-layer hierarchy, canonical naming, parent reference, document register and ISO 27001:2022 alignment.</w:t>
            </w:r>
          </w:p>
        </w:tc>
        <w:tc>
          <w:tcPr>
            <w:tcW w:type="dxa" w:w="1656"/>
            <w:tcMar>
              <w:top w:w="90" w:type="dxa"/>
              <w:start w:w="100" w:type="dxa"/>
              <w:bottom w:w="90" w:type="dxa"/>
              <w:end w:w="100" w:type="dxa"/>
            </w:tcMar>
            <w:vAlign w:val="center"/>
          </w:tcPr>
          <w:p>
            <w:pPr>
              <w:spacing w:after="0"/>
            </w:pPr>
            <w:r>
              <w:rPr>
                <w:rFonts w:ascii="Aptos" w:hAnsi="Aptos"/>
                <w:sz w:val="18"/>
              </w:rPr>
              <w:t>Chief Compliance Officer</w:t>
            </w:r>
          </w:p>
        </w:tc>
      </w:tr>
      <w:tr>
        <w:tc>
          <w:tcPr>
            <w:tcW w:type="dxa" w:w="1152"/>
            <w:tcMar>
              <w:top w:w="90" w:type="dxa"/>
              <w:start w:w="100" w:type="dxa"/>
              <w:bottom w:w="90" w:type="dxa"/>
              <w:end w:w="100" w:type="dxa"/>
            </w:tcMar>
            <w:vAlign w:val="center"/>
          </w:tcPr>
          <w:p>
            <w:pPr>
              <w:spacing w:after="0"/>
            </w:pPr>
            <w:r>
              <w:rPr>
                <w:rFonts w:ascii="Aptos" w:hAnsi="Aptos"/>
                <w:sz w:val="18"/>
              </w:rPr>
              <w:t>06</w:t>
            </w:r>
          </w:p>
        </w:tc>
        <w:tc>
          <w:tcPr>
            <w:tcW w:type="dxa" w:w="1512"/>
            <w:tcMar>
              <w:top w:w="90" w:type="dxa"/>
              <w:start w:w="100" w:type="dxa"/>
              <w:bottom w:w="90" w:type="dxa"/>
              <w:end w:w="100" w:type="dxa"/>
            </w:tcMar>
            <w:vAlign w:val="center"/>
          </w:tcPr>
          <w:p>
            <w:pPr>
              <w:spacing w:after="0"/>
            </w:pPr>
            <w:r>
              <w:rPr>
                <w:rFonts w:ascii="Aptos" w:hAnsi="Aptos"/>
                <w:sz w:val="18"/>
              </w:rPr>
              <w:t>Aug 2026</w:t>
            </w:r>
          </w:p>
        </w:tc>
        <w:tc>
          <w:tcPr>
            <w:tcW w:type="dxa" w:w="6624"/>
            <w:tcMar>
              <w:top w:w="90" w:type="dxa"/>
              <w:start w:w="100" w:type="dxa"/>
              <w:bottom w:w="90" w:type="dxa"/>
              <w:end w:w="100" w:type="dxa"/>
            </w:tcMar>
            <w:vAlign w:val="center"/>
          </w:tcPr>
          <w:p>
            <w:pPr>
              <w:spacing w:after="0"/>
            </w:pPr>
            <w:r>
              <w:rPr>
                <w:rFonts w:ascii="Aptos" w:hAnsi="Aptos"/>
                <w:sz w:val="18"/>
              </w:rPr>
              <w:t>Approval authority moved from layer to domain; two-pass approval, domain assignment, version convention, annual review, mandatory content, segregation and organogram rules consolidated.</w:t>
            </w:r>
          </w:p>
        </w:tc>
        <w:tc>
          <w:tcPr>
            <w:tcW w:type="dxa" w:w="1656"/>
            <w:tcMar>
              <w:top w:w="90" w:type="dxa"/>
              <w:start w:w="100" w:type="dxa"/>
              <w:bottom w:w="90" w:type="dxa"/>
              <w:end w:w="100" w:type="dxa"/>
            </w:tcMar>
            <w:vAlign w:val="center"/>
          </w:tcPr>
          <w:p>
            <w:pPr>
              <w:spacing w:after="0"/>
            </w:pPr>
            <w:r>
              <w:rPr>
                <w:rFonts w:ascii="Aptos" w:hAnsi="Aptos"/>
                <w:sz w:val="18"/>
              </w:rPr>
              <w:t>Chief Compliance Officer</w:t>
            </w:r>
          </w:p>
        </w:tc>
      </w:tr>
      <w:tr>
        <w:tc>
          <w:tcPr>
            <w:tcW w:type="dxa" w:w="1152"/>
            <w:tcMar>
              <w:top w:w="90" w:type="dxa"/>
              <w:start w:w="100" w:type="dxa"/>
              <w:bottom w:w="90" w:type="dxa"/>
              <w:end w:w="100" w:type="dxa"/>
            </w:tcMar>
            <w:vAlign w:val="center"/>
          </w:tcPr>
          <w:p>
            <w:pPr>
              <w:spacing w:after="0"/>
            </w:pPr>
            <w:r>
              <w:rPr>
                <w:rFonts w:ascii="Aptos" w:hAnsi="Aptos"/>
                <w:sz w:val="18"/>
              </w:rPr>
              <w:t>Draft</w:t>
            </w:r>
          </w:p>
        </w:tc>
        <w:tc>
          <w:tcPr>
            <w:tcW w:type="dxa" w:w="1512"/>
            <w:tcMar>
              <w:top w:w="90" w:type="dxa"/>
              <w:start w:w="100" w:type="dxa"/>
              <w:bottom w:w="90" w:type="dxa"/>
              <w:end w:w="100" w:type="dxa"/>
            </w:tcMar>
            <w:vAlign w:val="center"/>
          </w:tcPr>
          <w:p>
            <w:pPr>
              <w:spacing w:after="0"/>
            </w:pPr>
            <w:r>
              <w:rPr>
                <w:rFonts w:ascii="Aptos" w:hAnsi="Aptos"/>
                <w:sz w:val="18"/>
              </w:rPr>
              <w:t>Sep 2026</w:t>
            </w:r>
          </w:p>
        </w:tc>
        <w:tc>
          <w:tcPr>
            <w:tcW w:type="dxa" w:w="6624"/>
            <w:tcMar>
              <w:top w:w="90" w:type="dxa"/>
              <w:start w:w="100" w:type="dxa"/>
              <w:bottom w:w="90" w:type="dxa"/>
              <w:end w:w="100" w:type="dxa"/>
            </w:tcMar>
            <w:vAlign w:val="center"/>
          </w:tcPr>
          <w:p>
            <w:pPr>
              <w:spacing w:after="0"/>
            </w:pPr>
            <w:r>
              <w:rPr>
                <w:rFonts w:ascii="Aptos" w:hAnsi="Aptos"/>
                <w:sz w:val="18"/>
              </w:rPr>
              <w:t>Consolidates the Document Authoring Guide and generic Compliance Monitoring governance into CDI; adds GRC-ready drafting, automated evidence, one-record-of-truth, records taxonomy discipline, anti-pattern rules, and the principle 'authoritative reference first; governed extension where necessary'. The source documents are retired on formal issue.</w:t>
            </w:r>
          </w:p>
        </w:tc>
        <w:tc>
          <w:tcPr>
            <w:tcW w:type="dxa" w:w="1656"/>
            <w:tcMar>
              <w:top w:w="90" w:type="dxa"/>
              <w:start w:w="100" w:type="dxa"/>
              <w:bottom w:w="90" w:type="dxa"/>
              <w:end w:w="100" w:type="dxa"/>
            </w:tcMar>
            <w:vAlign w:val="center"/>
          </w:tcPr>
          <w:p>
            <w:pPr>
              <w:spacing w:after="0"/>
            </w:pPr>
            <w:r>
              <w:rPr>
                <w:rFonts w:ascii="Aptos" w:hAnsi="Aptos"/>
                <w:sz w:val="18"/>
              </w:rPr>
              <w:t>Pending</w:t>
            </w:r>
          </w:p>
        </w:tc>
      </w:tr>
    </w:tbl>
    <w:p/>
    <w:p>
      <w:pPr>
        <w:pStyle w:val="Heading1"/>
      </w:pPr>
      <w:r>
        <w:t>1.0 PURPOSE &amp; SCOPE</w:t>
      </w:r>
    </w:p>
    <w:p>
      <w:r>
        <w:t>This Procedure governs how documented information within Dragnet's integrated QMS and ISMS is created, classified, coded, named, authored, reviewed, approved, published, monitored, controlled, revised and retired. It is the common rulebook for controlled-document authoring and document control.</w:t>
      </w:r>
    </w:p>
    <w:p>
      <w:r>
        <w:t>It applies to all controlled Policies, Standards, Procedures, Specifications, Manuals and approved supporting document types, regardless of whether they are drafted by a person or by an authorised AI/GRC agent. It also governs how controlled documents identify the records and evidence required to prove that controls operate.</w:t>
      </w:r>
    </w:p>
    <w:p>
      <w:r>
        <w:t>This Procedure does not replace specialist governance for privacy, information security, legal and regulatory obligations, finance, technical data lifecycle or service-specific operations. Those authorities remain authoritative within their subject matter and are referenced rather than recreated here.</w:t>
      </w:r>
    </w:p>
    <w:p>
      <w:pPr>
        <w:pStyle w:val="Heading1"/>
      </w:pPr>
      <w:r>
        <w:t>2.0 TERMS &amp; DEFINITIONS</w:t>
      </w:r>
    </w:p>
    <w:tbl>
      <w:tblPr>
        <w:tblW w:type="auto" w:w="0"/>
        <w:jc w:val="center"/>
        <w:tblLayout w:type="fixed"/>
        <w:tblLook w:firstColumn="1" w:firstRow="1" w:lastColumn="0" w:lastRow="0" w:noHBand="0" w:noVBand="1" w:val="04A0"/>
      </w:tblPr>
      <w:tblGrid>
        <w:gridCol w:w="2448"/>
        <w:gridCol w:w="7920"/>
      </w:tblGrid>
      <w:tr>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Term</w:t>
            </w:r>
          </w:p>
        </w:tc>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Definition</w:t>
            </w:r>
          </w:p>
        </w:tc>
      </w:tr>
      <w:tr>
        <w:tc>
          <w:tcPr>
            <w:tcW w:type="dxa" w:w="2448"/>
            <w:vAlign w:val="center"/>
            <w:tcMar>
              <w:top w:w="90" w:type="dxa"/>
              <w:start w:w="100" w:type="dxa"/>
              <w:bottom w:w="90" w:type="dxa"/>
              <w:end w:w="100" w:type="dxa"/>
            </w:tcMar>
          </w:tcPr>
          <w:p>
            <w:pPr>
              <w:spacing w:after="0"/>
            </w:pPr>
            <w:r>
              <w:rPr>
                <w:rFonts w:ascii="Aptos" w:hAnsi="Aptos"/>
                <w:sz w:val="18"/>
              </w:rPr>
              <w:t>Documented Information</w:t>
            </w:r>
          </w:p>
        </w:tc>
        <w:tc>
          <w:tcPr>
            <w:tcW w:type="dxa" w:w="7920"/>
            <w:vAlign w:val="center"/>
            <w:tcMar>
              <w:top w:w="90" w:type="dxa"/>
              <w:start w:w="100" w:type="dxa"/>
              <w:bottom w:w="90" w:type="dxa"/>
              <w:end w:w="100" w:type="dxa"/>
            </w:tcMar>
          </w:tcPr>
          <w:p>
            <w:pPr>
              <w:spacing w:after="0"/>
            </w:pPr>
            <w:r>
              <w:rPr>
                <w:rFonts w:ascii="Aptos" w:hAnsi="Aptos"/>
                <w:sz w:val="18"/>
              </w:rPr>
              <w:t>The umbrella term for Documents, which instruct, and Records, which evidence what was done.</w:t>
            </w:r>
          </w:p>
        </w:tc>
      </w:tr>
      <w:tr>
        <w:tc>
          <w:tcPr>
            <w:tcW w:type="dxa" w:w="2448"/>
            <w:vAlign w:val="center"/>
            <w:tcMar>
              <w:top w:w="90" w:type="dxa"/>
              <w:start w:w="100" w:type="dxa"/>
              <w:bottom w:w="90" w:type="dxa"/>
              <w:end w:w="100" w:type="dxa"/>
            </w:tcMar>
          </w:tcPr>
          <w:p>
            <w:pPr>
              <w:spacing w:after="0"/>
            </w:pPr>
            <w:r>
              <w:rPr>
                <w:rFonts w:ascii="Aptos" w:hAnsi="Aptos"/>
                <w:sz w:val="18"/>
              </w:rPr>
              <w:t>Document</w:t>
            </w:r>
          </w:p>
        </w:tc>
        <w:tc>
          <w:tcPr>
            <w:tcW w:type="dxa" w:w="7920"/>
            <w:vAlign w:val="center"/>
            <w:tcMar>
              <w:top w:w="90" w:type="dxa"/>
              <w:start w:w="100" w:type="dxa"/>
              <w:bottom w:w="90" w:type="dxa"/>
              <w:end w:w="100" w:type="dxa"/>
            </w:tcMar>
          </w:tcPr>
          <w:p>
            <w:pPr>
              <w:spacing w:after="0"/>
            </w:pPr>
            <w:r>
              <w:rPr>
                <w:rFonts w:ascii="Aptos" w:hAnsi="Aptos"/>
                <w:sz w:val="18"/>
              </w:rPr>
              <w:t>A controlled instrument that instructs or governs, including Policy, Standard, Procedure, Specification, Manual and approved supporting types.</w:t>
            </w:r>
          </w:p>
        </w:tc>
      </w:tr>
      <w:tr>
        <w:tc>
          <w:tcPr>
            <w:tcW w:type="dxa" w:w="2448"/>
            <w:vAlign w:val="center"/>
            <w:tcMar>
              <w:top w:w="90" w:type="dxa"/>
              <w:start w:w="100" w:type="dxa"/>
              <w:bottom w:w="90" w:type="dxa"/>
              <w:end w:w="100" w:type="dxa"/>
            </w:tcMar>
          </w:tcPr>
          <w:p>
            <w:pPr>
              <w:spacing w:after="0"/>
            </w:pPr>
            <w:r>
              <w:rPr>
                <w:rFonts w:ascii="Aptos" w:hAnsi="Aptos"/>
                <w:sz w:val="18"/>
              </w:rPr>
              <w:t>Record</w:t>
            </w:r>
          </w:p>
        </w:tc>
        <w:tc>
          <w:tcPr>
            <w:tcW w:type="dxa" w:w="7920"/>
            <w:vAlign w:val="center"/>
            <w:tcMar>
              <w:top w:w="90" w:type="dxa"/>
              <w:start w:w="100" w:type="dxa"/>
              <w:bottom w:w="90" w:type="dxa"/>
              <w:end w:w="100" w:type="dxa"/>
            </w:tcMar>
          </w:tcPr>
          <w:p>
            <w:pPr>
              <w:spacing w:after="0"/>
            </w:pPr>
            <w:r>
              <w:rPr>
                <w:rFonts w:ascii="Aptos" w:hAnsi="Aptos"/>
                <w:sz w:val="18"/>
              </w:rPr>
              <w:t>Retained evidence that an activity occurred, a decision was made, a control operated or an obligation was satisfied.</w:t>
            </w:r>
          </w:p>
        </w:tc>
      </w:tr>
      <w:tr>
        <w:tc>
          <w:tcPr>
            <w:tcW w:type="dxa" w:w="2448"/>
            <w:vAlign w:val="center"/>
            <w:tcMar>
              <w:top w:w="90" w:type="dxa"/>
              <w:start w:w="100" w:type="dxa"/>
              <w:bottom w:w="90" w:type="dxa"/>
              <w:end w:w="100" w:type="dxa"/>
            </w:tcMar>
          </w:tcPr>
          <w:p>
            <w:pPr>
              <w:spacing w:after="0"/>
            </w:pPr>
            <w:r>
              <w:rPr>
                <w:rFonts w:ascii="Aptos" w:hAnsi="Aptos"/>
                <w:sz w:val="18"/>
              </w:rPr>
              <w:t>Control</w:t>
            </w:r>
          </w:p>
        </w:tc>
        <w:tc>
          <w:tcPr>
            <w:tcW w:type="dxa" w:w="7920"/>
            <w:vAlign w:val="center"/>
            <w:tcMar>
              <w:top w:w="90" w:type="dxa"/>
              <w:start w:w="100" w:type="dxa"/>
              <w:bottom w:w="90" w:type="dxa"/>
              <w:end w:w="100" w:type="dxa"/>
            </w:tcMar>
          </w:tcPr>
          <w:p>
            <w:pPr>
              <w:spacing w:after="0"/>
            </w:pPr>
            <w:r>
              <w:rPr>
                <w:rFonts w:ascii="Aptos" w:hAnsi="Aptos"/>
                <w:sz w:val="18"/>
              </w:rPr>
              <w:t>A requirement or measure established to modify risk, satisfy an obligation or ensure a defined outcome.</w:t>
            </w:r>
          </w:p>
        </w:tc>
      </w:tr>
      <w:tr>
        <w:tc>
          <w:tcPr>
            <w:tcW w:type="dxa" w:w="2448"/>
            <w:vAlign w:val="center"/>
            <w:tcMar>
              <w:top w:w="90" w:type="dxa"/>
              <w:start w:w="100" w:type="dxa"/>
              <w:bottom w:w="90" w:type="dxa"/>
              <w:end w:w="100" w:type="dxa"/>
            </w:tcMar>
          </w:tcPr>
          <w:p>
            <w:pPr>
              <w:spacing w:after="0"/>
            </w:pPr>
            <w:r>
              <w:rPr>
                <w:rFonts w:ascii="Aptos" w:hAnsi="Aptos"/>
                <w:sz w:val="18"/>
              </w:rPr>
              <w:t>Evidence</w:t>
            </w:r>
          </w:p>
        </w:tc>
        <w:tc>
          <w:tcPr>
            <w:tcW w:type="dxa" w:w="7920"/>
            <w:vAlign w:val="center"/>
            <w:tcMar>
              <w:top w:w="90" w:type="dxa"/>
              <w:start w:w="100" w:type="dxa"/>
              <w:bottom w:w="90" w:type="dxa"/>
              <w:end w:w="100" w:type="dxa"/>
            </w:tcMar>
          </w:tcPr>
          <w:p>
            <w:pPr>
              <w:spacing w:after="0"/>
            </w:pPr>
            <w:r>
              <w:rPr>
                <w:rFonts w:ascii="Aptos" w:hAnsi="Aptos"/>
                <w:sz w:val="18"/>
              </w:rPr>
              <w:t>A governed Record that demonstrates a control has operated or a requirement has been met.</w:t>
            </w:r>
          </w:p>
        </w:tc>
      </w:tr>
      <w:tr>
        <w:tc>
          <w:tcPr>
            <w:tcW w:type="dxa" w:w="2448"/>
            <w:vAlign w:val="center"/>
            <w:tcMar>
              <w:top w:w="90" w:type="dxa"/>
              <w:start w:w="100" w:type="dxa"/>
              <w:bottom w:w="90" w:type="dxa"/>
              <w:end w:w="100" w:type="dxa"/>
            </w:tcMar>
          </w:tcPr>
          <w:p>
            <w:pPr>
              <w:spacing w:after="0"/>
            </w:pPr>
            <w:r>
              <w:rPr>
                <w:rFonts w:ascii="Aptos" w:hAnsi="Aptos"/>
                <w:sz w:val="18"/>
              </w:rPr>
              <w:t>Record Name</w:t>
            </w:r>
          </w:p>
        </w:tc>
        <w:tc>
          <w:tcPr>
            <w:tcW w:type="dxa" w:w="7920"/>
            <w:vAlign w:val="center"/>
            <w:tcMar>
              <w:top w:w="90" w:type="dxa"/>
              <w:start w:w="100" w:type="dxa"/>
              <w:bottom w:w="90" w:type="dxa"/>
              <w:end w:w="100" w:type="dxa"/>
            </w:tcMar>
          </w:tcPr>
          <w:p>
            <w:pPr>
              <w:spacing w:after="0"/>
            </w:pPr>
            <w:r>
              <w:rPr>
                <w:rFonts w:ascii="Aptos" w:hAnsi="Aptos"/>
                <w:sz w:val="18"/>
              </w:rPr>
              <w:t>The canonical name of a specific governed evidence object used or produced by a process or control.</w:t>
            </w:r>
          </w:p>
        </w:tc>
      </w:tr>
      <w:tr>
        <w:tc>
          <w:tcPr>
            <w:tcW w:type="dxa" w:w="2448"/>
            <w:vAlign w:val="center"/>
            <w:tcMar>
              <w:top w:w="90" w:type="dxa"/>
              <w:start w:w="100" w:type="dxa"/>
              <w:bottom w:w="90" w:type="dxa"/>
              <w:end w:w="100" w:type="dxa"/>
            </w:tcMar>
          </w:tcPr>
          <w:p>
            <w:pPr>
              <w:spacing w:after="0"/>
            </w:pPr>
            <w:r>
              <w:rPr>
                <w:rFonts w:ascii="Aptos" w:hAnsi="Aptos"/>
                <w:sz w:val="18"/>
              </w:rPr>
              <w:t>Record Type</w:t>
            </w:r>
          </w:p>
        </w:tc>
        <w:tc>
          <w:tcPr>
            <w:tcW w:type="dxa" w:w="7920"/>
            <w:vAlign w:val="center"/>
            <w:tcMar>
              <w:top w:w="90" w:type="dxa"/>
              <w:start w:w="100" w:type="dxa"/>
              <w:bottom w:w="90" w:type="dxa"/>
              <w:end w:w="100" w:type="dxa"/>
            </w:tcMar>
          </w:tcPr>
          <w:p>
            <w:pPr>
              <w:spacing w:after="0"/>
            </w:pPr>
            <w:r>
              <w:rPr>
                <w:rFonts w:ascii="Aptos" w:hAnsi="Aptos"/>
                <w:sz w:val="18"/>
              </w:rPr>
              <w:t>A controlled semantic category describing what kind of organisational evidence a Record Name represents.</w:t>
            </w:r>
          </w:p>
        </w:tc>
      </w:tr>
      <w:tr>
        <w:tc>
          <w:tcPr>
            <w:tcW w:type="dxa" w:w="2448"/>
            <w:vAlign w:val="center"/>
            <w:tcMar>
              <w:top w:w="90" w:type="dxa"/>
              <w:start w:w="100" w:type="dxa"/>
              <w:bottom w:w="90" w:type="dxa"/>
              <w:end w:w="100" w:type="dxa"/>
            </w:tcMar>
          </w:tcPr>
          <w:p>
            <w:pPr>
              <w:spacing w:after="0"/>
            </w:pPr>
            <w:r>
              <w:rPr>
                <w:rFonts w:ascii="Aptos" w:hAnsi="Aptos"/>
                <w:sz w:val="18"/>
              </w:rPr>
              <w:t>Evidence Freshness</w:t>
            </w:r>
          </w:p>
        </w:tc>
        <w:tc>
          <w:tcPr>
            <w:tcW w:type="dxa" w:w="7920"/>
            <w:vAlign w:val="center"/>
            <w:tcMar>
              <w:top w:w="90" w:type="dxa"/>
              <w:start w:w="100" w:type="dxa"/>
              <w:bottom w:w="90" w:type="dxa"/>
              <w:end w:w="100" w:type="dxa"/>
            </w:tcMar>
          </w:tcPr>
          <w:p>
            <w:pPr>
              <w:spacing w:after="0"/>
            </w:pPr>
            <w:r>
              <w:rPr>
                <w:rFonts w:ascii="Aptos" w:hAnsi="Aptos"/>
                <w:sz w:val="18"/>
              </w:rPr>
              <w:t>The period or condition within which evidence still demonstrates current operation of a monitored control.</w:t>
            </w:r>
          </w:p>
        </w:tc>
      </w:tr>
      <w:tr>
        <w:tc>
          <w:tcPr>
            <w:tcW w:type="dxa" w:w="2448"/>
            <w:vAlign w:val="center"/>
            <w:tcMar>
              <w:top w:w="90" w:type="dxa"/>
              <w:start w:w="100" w:type="dxa"/>
              <w:bottom w:w="90" w:type="dxa"/>
              <w:end w:w="100" w:type="dxa"/>
            </w:tcMar>
          </w:tcPr>
          <w:p>
            <w:pPr>
              <w:spacing w:after="0"/>
            </w:pPr>
            <w:r>
              <w:rPr>
                <w:rFonts w:ascii="Aptos" w:hAnsi="Aptos"/>
                <w:sz w:val="18"/>
              </w:rPr>
              <w:t>Exception</w:t>
            </w:r>
          </w:p>
        </w:tc>
        <w:tc>
          <w:tcPr>
            <w:tcW w:type="dxa" w:w="7920"/>
            <w:vAlign w:val="center"/>
            <w:tcMar>
              <w:top w:w="90" w:type="dxa"/>
              <w:start w:w="100" w:type="dxa"/>
              <w:bottom w:w="90" w:type="dxa"/>
              <w:end w:w="100" w:type="dxa"/>
            </w:tcMar>
          </w:tcPr>
          <w:p>
            <w:pPr>
              <w:spacing w:after="0"/>
            </w:pPr>
            <w:r>
              <w:rPr>
                <w:rFonts w:ascii="Aptos" w:hAnsi="Aptos"/>
                <w:sz w:val="18"/>
              </w:rPr>
              <w:t>A monitoring result showing that a control has not operated or its evidence is missing, incomplete, stale or otherwise unacceptable.</w:t>
            </w:r>
          </w:p>
        </w:tc>
      </w:tr>
      <w:tr>
        <w:tc>
          <w:tcPr>
            <w:tcW w:type="dxa" w:w="2448"/>
            <w:vAlign w:val="center"/>
            <w:tcMar>
              <w:top w:w="90" w:type="dxa"/>
              <w:start w:w="100" w:type="dxa"/>
              <w:bottom w:w="90" w:type="dxa"/>
              <w:end w:w="100" w:type="dxa"/>
            </w:tcMar>
          </w:tcPr>
          <w:p>
            <w:pPr>
              <w:spacing w:after="0"/>
            </w:pPr>
            <w:r>
              <w:rPr>
                <w:rFonts w:ascii="Aptos" w:hAnsi="Aptos"/>
                <w:sz w:val="18"/>
              </w:rPr>
              <w:t>Parent Document</w:t>
            </w:r>
          </w:p>
        </w:tc>
        <w:tc>
          <w:tcPr>
            <w:tcW w:type="dxa" w:w="7920"/>
            <w:vAlign w:val="center"/>
            <w:tcMar>
              <w:top w:w="90" w:type="dxa"/>
              <w:start w:w="100" w:type="dxa"/>
              <w:bottom w:w="90" w:type="dxa"/>
              <w:end w:w="100" w:type="dxa"/>
            </w:tcMar>
          </w:tcPr>
          <w:p>
            <w:pPr>
              <w:spacing w:after="0"/>
            </w:pPr>
            <w:r>
              <w:rPr>
                <w:rFonts w:ascii="Aptos" w:hAnsi="Aptos"/>
                <w:sz w:val="18"/>
              </w:rPr>
              <w:t>The authorising document in the layer above.</w:t>
            </w:r>
          </w:p>
        </w:tc>
      </w:tr>
      <w:tr>
        <w:tc>
          <w:tcPr>
            <w:tcW w:type="dxa" w:w="2448"/>
            <w:vAlign w:val="center"/>
            <w:tcMar>
              <w:top w:w="90" w:type="dxa"/>
              <w:start w:w="100" w:type="dxa"/>
              <w:bottom w:w="90" w:type="dxa"/>
              <w:end w:w="100" w:type="dxa"/>
            </w:tcMar>
          </w:tcPr>
          <w:p>
            <w:pPr>
              <w:spacing w:after="0"/>
            </w:pPr>
            <w:r>
              <w:rPr>
                <w:rFonts w:ascii="Aptos" w:hAnsi="Aptos"/>
                <w:sz w:val="18"/>
              </w:rPr>
              <w:t>Document Register</w:t>
            </w:r>
          </w:p>
        </w:tc>
        <w:tc>
          <w:tcPr>
            <w:tcW w:type="dxa" w:w="7920"/>
            <w:vAlign w:val="center"/>
            <w:tcMar>
              <w:top w:w="90" w:type="dxa"/>
              <w:start w:w="100" w:type="dxa"/>
              <w:bottom w:w="90" w:type="dxa"/>
              <w:end w:w="100" w:type="dxa"/>
            </w:tcMar>
          </w:tcPr>
          <w:p>
            <w:pPr>
              <w:spacing w:after="0"/>
            </w:pPr>
            <w:r>
              <w:rPr>
                <w:rFonts w:ascii="Aptos" w:hAnsi="Aptos"/>
                <w:sz w:val="18"/>
              </w:rPr>
              <w:t>The authoritative index of controlled documents and their current versions.</w:t>
            </w:r>
          </w:p>
        </w:tc>
      </w:tr>
      <w:tr>
        <w:tc>
          <w:tcPr>
            <w:tcW w:type="dxa" w:w="2448"/>
            <w:vAlign w:val="center"/>
            <w:tcMar>
              <w:top w:w="90" w:type="dxa"/>
              <w:start w:w="100" w:type="dxa"/>
              <w:bottom w:w="90" w:type="dxa"/>
              <w:end w:w="100" w:type="dxa"/>
            </w:tcMar>
          </w:tcPr>
          <w:p>
            <w:pPr>
              <w:spacing w:after="0"/>
            </w:pPr>
            <w:r>
              <w:rPr>
                <w:rFonts w:ascii="Aptos" w:hAnsi="Aptos"/>
                <w:sz w:val="18"/>
              </w:rPr>
              <w:t>Material Change</w:t>
            </w:r>
          </w:p>
        </w:tc>
        <w:tc>
          <w:tcPr>
            <w:tcW w:type="dxa" w:w="7920"/>
            <w:vAlign w:val="center"/>
            <w:tcMar>
              <w:top w:w="90" w:type="dxa"/>
              <w:start w:w="100" w:type="dxa"/>
              <w:bottom w:w="90" w:type="dxa"/>
              <w:end w:w="100" w:type="dxa"/>
            </w:tcMar>
          </w:tcPr>
          <w:p>
            <w:pPr>
              <w:spacing w:after="0"/>
            </w:pPr>
            <w:r>
              <w:rPr>
                <w:rFonts w:ascii="Aptos" w:hAnsi="Aptos"/>
                <w:sz w:val="18"/>
              </w:rPr>
              <w:t>A change that alters what someone must do, changes a compliance/legal statement, or changes the document hierarchy, owner, authority or substantive control.</w:t>
            </w:r>
          </w:p>
        </w:tc>
      </w:tr>
      <w:tr>
        <w:tc>
          <w:tcPr>
            <w:tcW w:type="dxa" w:w="2448"/>
            <w:vAlign w:val="center"/>
            <w:tcMar>
              <w:top w:w="90" w:type="dxa"/>
              <w:start w:w="100" w:type="dxa"/>
              <w:bottom w:w="90" w:type="dxa"/>
              <w:end w:w="100" w:type="dxa"/>
            </w:tcMar>
          </w:tcPr>
          <w:p>
            <w:pPr>
              <w:spacing w:after="0"/>
            </w:pPr>
            <w:r>
              <w:rPr>
                <w:rFonts w:ascii="Aptos" w:hAnsi="Aptos"/>
                <w:sz w:val="18"/>
              </w:rPr>
              <w:t>Sensitisation</w:t>
            </w:r>
          </w:p>
        </w:tc>
        <w:tc>
          <w:tcPr>
            <w:tcW w:type="dxa" w:w="7920"/>
            <w:vAlign w:val="center"/>
            <w:tcMar>
              <w:top w:w="90" w:type="dxa"/>
              <w:start w:w="100" w:type="dxa"/>
              <w:bottom w:w="90" w:type="dxa"/>
              <w:end w:w="100" w:type="dxa"/>
            </w:tcMar>
          </w:tcPr>
          <w:p>
            <w:pPr>
              <w:spacing w:after="0"/>
            </w:pPr>
            <w:r>
              <w:rPr>
                <w:rFonts w:ascii="Aptos" w:hAnsi="Aptos"/>
                <w:sz w:val="18"/>
              </w:rPr>
              <w:t>Structured briefing and alignment of affected stakeholders on a new or materially changed controlled document before it takes effect.</w:t>
            </w:r>
          </w:p>
        </w:tc>
      </w:tr>
    </w:tbl>
    <w:p/>
    <w:p>
      <w:pPr>
        <w:pStyle w:val="Heading1"/>
      </w:pPr>
      <w:r>
        <w:t>3.0 CONTROLLED-DOCUMENT ARCHITECTURE</w:t>
      </w:r>
    </w:p>
    <w:p>
      <w:r>
        <w:t>Every governing document sits in the controlled hierarchy and traces to an authorised parent. No governing document exists in isolation.</w:t>
      </w:r>
    </w:p>
    <w:tbl>
      <w:tblPr>
        <w:tblW w:type="auto" w:w="0"/>
        <w:jc w:val="center"/>
        <w:tblLayout w:type="fixed"/>
        <w:tblLook w:firstColumn="1" w:firstRow="1" w:lastColumn="0" w:lastRow="0" w:noHBand="0" w:noVBand="1" w:val="04A0"/>
      </w:tblPr>
      <w:tblGrid>
        <w:gridCol w:w="1152"/>
        <w:gridCol w:w="2880"/>
        <w:gridCol w:w="6336"/>
      </w:tblGrid>
      <w:tr>
        <w:tc>
          <w:tcPr>
            <w:tcW w:type="dxa" w:w="3389"/>
            <w:shd w:fill="17365D"/>
            <w:vAlign w:val="center"/>
            <w:tcMar>
              <w:top w:w="90" w:type="dxa"/>
              <w:start w:w="100" w:type="dxa"/>
              <w:bottom w:w="90" w:type="dxa"/>
              <w:end w:w="100" w:type="dxa"/>
            </w:tcMar>
          </w:tcPr>
          <w:p>
            <w:pPr>
              <w:spacing w:after="0"/>
            </w:pPr>
            <w:r>
              <w:rPr>
                <w:rFonts w:ascii="Aptos" w:hAnsi="Aptos"/>
                <w:b/>
                <w:color w:val="FFFFFF"/>
                <w:sz w:val="18"/>
              </w:rPr>
              <w:t>Layer</w:t>
            </w:r>
          </w:p>
        </w:tc>
        <w:tc>
          <w:tcPr>
            <w:tcW w:type="dxa" w:w="3389"/>
            <w:shd w:fill="17365D"/>
            <w:vAlign w:val="center"/>
            <w:tcMar>
              <w:top w:w="90" w:type="dxa"/>
              <w:start w:w="100" w:type="dxa"/>
              <w:bottom w:w="90" w:type="dxa"/>
              <w:end w:w="100" w:type="dxa"/>
            </w:tcMar>
          </w:tcPr>
          <w:p>
            <w:pPr>
              <w:spacing w:after="0"/>
            </w:pPr>
            <w:r>
              <w:rPr>
                <w:rFonts w:ascii="Aptos" w:hAnsi="Aptos"/>
                <w:b/>
                <w:color w:val="FFFFFF"/>
                <w:sz w:val="18"/>
              </w:rPr>
              <w:t>Type</w:t>
            </w:r>
          </w:p>
        </w:tc>
        <w:tc>
          <w:tcPr>
            <w:tcW w:type="dxa" w:w="3389"/>
            <w:shd w:fill="17365D"/>
            <w:vAlign w:val="center"/>
            <w:tcMar>
              <w:top w:w="90" w:type="dxa"/>
              <w:start w:w="100" w:type="dxa"/>
              <w:bottom w:w="90" w:type="dxa"/>
              <w:end w:w="100" w:type="dxa"/>
            </w:tcMar>
          </w:tcPr>
          <w:p>
            <w:pPr>
              <w:spacing w:after="0"/>
            </w:pPr>
            <w:r>
              <w:rPr>
                <w:rFonts w:ascii="Aptos" w:hAnsi="Aptos"/>
                <w:b/>
                <w:color w:val="FFFFFF"/>
                <w:sz w:val="18"/>
              </w:rPr>
              <w:t>Purpose</w:t>
            </w:r>
          </w:p>
        </w:tc>
      </w:tr>
      <w:tr>
        <w:tc>
          <w:tcPr>
            <w:tcW w:type="dxa" w:w="1152"/>
            <w:vAlign w:val="center"/>
            <w:tcMar>
              <w:top w:w="90" w:type="dxa"/>
              <w:start w:w="100" w:type="dxa"/>
              <w:bottom w:w="90" w:type="dxa"/>
              <w:end w:w="100" w:type="dxa"/>
            </w:tcMar>
          </w:tcPr>
          <w:p>
            <w:pPr>
              <w:spacing w:after="0"/>
            </w:pPr>
            <w:r>
              <w:rPr>
                <w:rFonts w:ascii="Aptos" w:hAnsi="Aptos"/>
                <w:sz w:val="18"/>
              </w:rPr>
              <w:t>1</w:t>
            </w:r>
          </w:p>
        </w:tc>
        <w:tc>
          <w:tcPr>
            <w:tcW w:type="dxa" w:w="2880"/>
            <w:vAlign w:val="center"/>
            <w:tcMar>
              <w:top w:w="90" w:type="dxa"/>
              <w:start w:w="100" w:type="dxa"/>
              <w:bottom w:w="90" w:type="dxa"/>
              <w:end w:w="100" w:type="dxa"/>
            </w:tcMar>
          </w:tcPr>
          <w:p>
            <w:pPr>
              <w:spacing w:after="0"/>
            </w:pPr>
            <w:r>
              <w:rPr>
                <w:rFonts w:ascii="Aptos" w:hAnsi="Aptos"/>
                <w:sz w:val="18"/>
              </w:rPr>
              <w:t>Master Integrated Management System Policy</w:t>
            </w:r>
          </w:p>
        </w:tc>
        <w:tc>
          <w:tcPr>
            <w:tcW w:type="dxa" w:w="6336"/>
            <w:vAlign w:val="center"/>
            <w:tcMar>
              <w:top w:w="90" w:type="dxa"/>
              <w:start w:w="100" w:type="dxa"/>
              <w:bottom w:w="90" w:type="dxa"/>
              <w:end w:w="100" w:type="dxa"/>
            </w:tcMar>
          </w:tcPr>
          <w:p>
            <w:pPr>
              <w:spacing w:after="0"/>
            </w:pPr>
            <w:r>
              <w:rPr>
                <w:rFonts w:ascii="Aptos" w:hAnsi="Aptos"/>
                <w:sz w:val="18"/>
              </w:rPr>
              <w:t>Constitutional document authorising the integrated QMS/ISMS and Domain Policies.</w:t>
            </w:r>
          </w:p>
        </w:tc>
      </w:tr>
      <w:tr>
        <w:tc>
          <w:tcPr>
            <w:tcW w:type="dxa" w:w="1152"/>
            <w:vAlign w:val="center"/>
            <w:tcMar>
              <w:top w:w="90" w:type="dxa"/>
              <w:start w:w="100" w:type="dxa"/>
              <w:bottom w:w="90" w:type="dxa"/>
              <w:end w:w="100" w:type="dxa"/>
            </w:tcMar>
          </w:tcPr>
          <w:p>
            <w:pPr>
              <w:spacing w:after="0"/>
            </w:pPr>
            <w:r>
              <w:rPr>
                <w:rFonts w:ascii="Aptos" w:hAnsi="Aptos"/>
                <w:sz w:val="18"/>
              </w:rPr>
              <w:t>2</w:t>
            </w:r>
          </w:p>
        </w:tc>
        <w:tc>
          <w:tcPr>
            <w:tcW w:type="dxa" w:w="2880"/>
            <w:vAlign w:val="center"/>
            <w:tcMar>
              <w:top w:w="90" w:type="dxa"/>
              <w:start w:w="100" w:type="dxa"/>
              <w:bottom w:w="90" w:type="dxa"/>
              <w:end w:w="100" w:type="dxa"/>
            </w:tcMar>
          </w:tcPr>
          <w:p>
            <w:pPr>
              <w:spacing w:after="0"/>
            </w:pPr>
            <w:r>
              <w:rPr>
                <w:rFonts w:ascii="Aptos" w:hAnsi="Aptos"/>
                <w:sz w:val="18"/>
              </w:rPr>
              <w:t>Domain Policy</w:t>
            </w:r>
          </w:p>
        </w:tc>
        <w:tc>
          <w:tcPr>
            <w:tcW w:type="dxa" w:w="6336"/>
            <w:vAlign w:val="center"/>
            <w:tcMar>
              <w:top w:w="90" w:type="dxa"/>
              <w:start w:w="100" w:type="dxa"/>
              <w:bottom w:w="90" w:type="dxa"/>
              <w:end w:w="100" w:type="dxa"/>
            </w:tcMar>
          </w:tcPr>
          <w:p>
            <w:pPr>
              <w:spacing w:after="0"/>
            </w:pPr>
            <w:r>
              <w:rPr>
                <w:rFonts w:ascii="Aptos" w:hAnsi="Aptos"/>
                <w:sz w:val="18"/>
              </w:rPr>
              <w:t>Strategic charter for a subject area. States commitments, ownership and subordinate controls.</w:t>
            </w:r>
          </w:p>
        </w:tc>
      </w:tr>
      <w:tr>
        <w:tc>
          <w:tcPr>
            <w:tcW w:type="dxa" w:w="1152"/>
            <w:vAlign w:val="center"/>
            <w:tcMar>
              <w:top w:w="90" w:type="dxa"/>
              <w:start w:w="100" w:type="dxa"/>
              <w:bottom w:w="90" w:type="dxa"/>
              <w:end w:w="100" w:type="dxa"/>
            </w:tcMar>
          </w:tcPr>
          <w:p>
            <w:pPr>
              <w:spacing w:after="0"/>
            </w:pPr>
            <w:r>
              <w:rPr>
                <w:rFonts w:ascii="Aptos" w:hAnsi="Aptos"/>
                <w:sz w:val="18"/>
              </w:rPr>
              <w:t>3</w:t>
            </w:r>
          </w:p>
        </w:tc>
        <w:tc>
          <w:tcPr>
            <w:tcW w:type="dxa" w:w="2880"/>
            <w:vAlign w:val="center"/>
            <w:tcMar>
              <w:top w:w="90" w:type="dxa"/>
              <w:start w:w="100" w:type="dxa"/>
              <w:bottom w:w="90" w:type="dxa"/>
              <w:end w:w="100" w:type="dxa"/>
            </w:tcMar>
          </w:tcPr>
          <w:p>
            <w:pPr>
              <w:spacing w:after="0"/>
            </w:pPr>
            <w:r>
              <w:rPr>
                <w:rFonts w:ascii="Aptos" w:hAnsi="Aptos"/>
                <w:sz w:val="18"/>
              </w:rPr>
              <w:t>Standard</w:t>
            </w:r>
          </w:p>
        </w:tc>
        <w:tc>
          <w:tcPr>
            <w:tcW w:type="dxa" w:w="6336"/>
            <w:vAlign w:val="center"/>
            <w:tcMar>
              <w:top w:w="90" w:type="dxa"/>
              <w:start w:w="100" w:type="dxa"/>
              <w:bottom w:w="90" w:type="dxa"/>
              <w:end w:w="100" w:type="dxa"/>
            </w:tcMar>
          </w:tcPr>
          <w:p>
            <w:pPr>
              <w:spacing w:after="0"/>
            </w:pPr>
            <w:r>
              <w:rPr>
                <w:rFonts w:ascii="Aptos" w:hAnsi="Aptos"/>
                <w:sz w:val="18"/>
              </w:rPr>
              <w:t>Auditable specification of what MUST, SHOULD or MAY be in place. Defines controls and measurable criteria.</w:t>
            </w:r>
          </w:p>
        </w:tc>
      </w:tr>
      <w:tr>
        <w:tc>
          <w:tcPr>
            <w:tcW w:type="dxa" w:w="1152"/>
            <w:vAlign w:val="center"/>
            <w:tcMar>
              <w:top w:w="90" w:type="dxa"/>
              <w:start w:w="100" w:type="dxa"/>
              <w:bottom w:w="90" w:type="dxa"/>
              <w:end w:w="100" w:type="dxa"/>
            </w:tcMar>
          </w:tcPr>
          <w:p>
            <w:pPr>
              <w:spacing w:after="0"/>
            </w:pPr>
            <w:r>
              <w:rPr>
                <w:rFonts w:ascii="Aptos" w:hAnsi="Aptos"/>
                <w:sz w:val="18"/>
              </w:rPr>
              <w:t>4</w:t>
            </w:r>
          </w:p>
        </w:tc>
        <w:tc>
          <w:tcPr>
            <w:tcW w:type="dxa" w:w="2880"/>
            <w:vAlign w:val="center"/>
            <w:tcMar>
              <w:top w:w="90" w:type="dxa"/>
              <w:start w:w="100" w:type="dxa"/>
              <w:bottom w:w="90" w:type="dxa"/>
              <w:end w:w="100" w:type="dxa"/>
            </w:tcMar>
          </w:tcPr>
          <w:p>
            <w:pPr>
              <w:spacing w:after="0"/>
            </w:pPr>
            <w:r>
              <w:rPr>
                <w:rFonts w:ascii="Aptos" w:hAnsi="Aptos"/>
                <w:sz w:val="18"/>
              </w:rPr>
              <w:t>Procedure / Specification</w:t>
            </w:r>
          </w:p>
        </w:tc>
        <w:tc>
          <w:tcPr>
            <w:tcW w:type="dxa" w:w="6336"/>
            <w:vAlign w:val="center"/>
            <w:tcMar>
              <w:top w:w="90" w:type="dxa"/>
              <w:start w:w="100" w:type="dxa"/>
              <w:bottom w:w="90" w:type="dxa"/>
              <w:end w:w="100" w:type="dxa"/>
            </w:tcMar>
          </w:tcPr>
          <w:p>
            <w:pPr>
              <w:spacing w:after="0"/>
            </w:pPr>
            <w:r>
              <w:rPr>
                <w:rFonts w:ascii="Aptos" w:hAnsi="Aptos"/>
                <w:sz w:val="18"/>
              </w:rPr>
              <w:t>Operational implementation: sequence, runbook, model, gate or system-specific control detail.</w:t>
            </w:r>
          </w:p>
        </w:tc>
      </w:tr>
      <w:tr>
        <w:tc>
          <w:tcPr>
            <w:tcW w:type="dxa" w:w="1152"/>
            <w:vAlign w:val="center"/>
            <w:tcMar>
              <w:top w:w="90" w:type="dxa"/>
              <w:start w:w="100" w:type="dxa"/>
              <w:bottom w:w="90" w:type="dxa"/>
              <w:end w:w="100" w:type="dxa"/>
            </w:tcMar>
          </w:tcPr>
          <w:p>
            <w:pPr>
              <w:spacing w:after="0"/>
            </w:pPr>
            <w:r>
              <w:rPr>
                <w:rFonts w:ascii="Aptos" w:hAnsi="Aptos"/>
                <w:sz w:val="18"/>
              </w:rPr>
              <w:t>Companion</w:t>
            </w:r>
          </w:p>
        </w:tc>
        <w:tc>
          <w:tcPr>
            <w:tcW w:type="dxa" w:w="2880"/>
            <w:vAlign w:val="center"/>
            <w:tcMar>
              <w:top w:w="90" w:type="dxa"/>
              <w:start w:w="100" w:type="dxa"/>
              <w:bottom w:w="90" w:type="dxa"/>
              <w:end w:w="100" w:type="dxa"/>
            </w:tcMar>
          </w:tcPr>
          <w:p>
            <w:pPr>
              <w:spacing w:after="0"/>
            </w:pPr>
            <w:r>
              <w:rPr>
                <w:rFonts w:ascii="Aptos" w:hAnsi="Aptos"/>
                <w:sz w:val="18"/>
              </w:rPr>
              <w:t>Manual</w:t>
            </w:r>
          </w:p>
        </w:tc>
        <w:tc>
          <w:tcPr>
            <w:tcW w:type="dxa" w:w="6336"/>
            <w:vAlign w:val="center"/>
            <w:tcMar>
              <w:top w:w="90" w:type="dxa"/>
              <w:start w:w="100" w:type="dxa"/>
              <w:bottom w:w="90" w:type="dxa"/>
              <w:end w:w="100" w:type="dxa"/>
            </w:tcMar>
          </w:tcPr>
          <w:p>
            <w:pPr>
              <w:spacing w:after="0"/>
            </w:pPr>
            <w:r>
              <w:rPr>
                <w:rFonts w:ascii="Aptos" w:hAnsi="Aptos"/>
                <w:sz w:val="18"/>
              </w:rPr>
              <w:t>Descriptive overview for certification and induction; not a substitute for governing controls.</w:t>
            </w:r>
          </w:p>
        </w:tc>
      </w:tr>
    </w:tbl>
    <w:p/>
    <w:p>
      <w:r>
        <w:rPr>
          <w:b/>
        </w:rPr>
        <w:t>Parent rule - no orphans.</w:t>
      </w:r>
      <w:r/>
    </w:p>
    <w:p>
      <w:pPr>
        <w:pStyle w:val="ListBullet"/>
      </w:pPr>
      <w:r>
        <w:t>Every Domain Policy is authorised by the Master Policy.</w:t>
      </w:r>
    </w:p>
    <w:p>
      <w:pPr>
        <w:pStyle w:val="ListBullet"/>
      </w:pPr>
      <w:r>
        <w:t>Every Standard names the Domain Policy that authorises it.</w:t>
      </w:r>
    </w:p>
    <w:p>
      <w:pPr>
        <w:pStyle w:val="ListBullet"/>
      </w:pPr>
      <w:r>
        <w:t>Every Procedure or Specification names its parent Standard, or the parent Policy where no Standard exists.</w:t>
      </w:r>
    </w:p>
    <w:p>
      <w:pPr>
        <w:pStyle w:val="ListBullet"/>
      </w:pPr>
      <w:r>
        <w:t>A draft with no valid parent is returned before approval and does not enter the Document Register.</w:t>
      </w:r>
    </w:p>
    <w:p>
      <w:pPr>
        <w:pStyle w:val="Heading1"/>
      </w:pPr>
      <w:r>
        <w:t>4.0 CODING, FILENAMES &amp; VERSION CONTROL</w:t>
      </w:r>
    </w:p>
    <w:p>
      <w:r>
        <w:t>Controlled documents use the approved DRG coding convention, controlled filenames and issued version identifiers. Drafts are clearly marked Draft and do not receive an issued version number. Superseded versions remain traceable, read-only and unavailable for current operational use.</w:t>
      </w:r>
    </w:p>
    <w:p>
      <w:r>
        <w:t>The filename shall identify the controlled title and current version without creating a second coding scheme. Local copies, personal-drive variants and renamed exports are not controlled masters.</w:t>
      </w:r>
    </w:p>
    <w:p>
      <w:pPr>
        <w:pStyle w:val="Heading1"/>
      </w:pPr>
      <w:r>
        <w:t>5.0 DOCUMENT CONTROL BLOCK &amp; MANDATORY CONTENT</w:t>
      </w:r>
    </w:p>
    <w:p>
      <w:r>
        <w:t>Every controlled document carries a control block that makes identity, hierarchy, ownership, authority, classification and current issue status explicit.</w:t>
      </w:r>
    </w:p>
    <w:tbl>
      <w:tblPr>
        <w:tblW w:type="auto" w:w="0"/>
        <w:jc w:val="center"/>
        <w:tblLayout w:type="fixed"/>
        <w:tblLook w:firstColumn="1" w:firstRow="1" w:lastColumn="0" w:lastRow="0" w:noHBand="0" w:noVBand="1" w:val="04A0"/>
      </w:tblPr>
      <w:tblGrid>
        <w:gridCol w:w="2880"/>
        <w:gridCol w:w="7488"/>
      </w:tblGrid>
      <w:tr>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Field</w:t>
            </w:r>
          </w:p>
        </w:tc>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Requirement</w:t>
            </w:r>
          </w:p>
        </w:tc>
      </w:tr>
      <w:tr>
        <w:tc>
          <w:tcPr>
            <w:tcW w:type="dxa" w:w="2880"/>
            <w:vAlign w:val="center"/>
            <w:tcMar>
              <w:top w:w="90" w:type="dxa"/>
              <w:start w:w="100" w:type="dxa"/>
              <w:bottom w:w="90" w:type="dxa"/>
              <w:end w:w="100" w:type="dxa"/>
            </w:tcMar>
          </w:tcPr>
          <w:p>
            <w:pPr>
              <w:spacing w:after="0"/>
            </w:pPr>
            <w:r>
              <w:rPr>
                <w:rFonts w:ascii="Aptos" w:hAnsi="Aptos"/>
                <w:sz w:val="18"/>
              </w:rPr>
              <w:t>Document Code</w:t>
            </w:r>
          </w:p>
        </w:tc>
        <w:tc>
          <w:tcPr>
            <w:tcW w:type="dxa" w:w="7488"/>
            <w:vAlign w:val="center"/>
            <w:tcMar>
              <w:top w:w="90" w:type="dxa"/>
              <w:start w:w="100" w:type="dxa"/>
              <w:bottom w:w="90" w:type="dxa"/>
              <w:end w:w="100" w:type="dxa"/>
            </w:tcMar>
          </w:tcPr>
          <w:p>
            <w:pPr>
              <w:spacing w:after="0"/>
            </w:pPr>
            <w:r>
              <w:rPr>
                <w:rFonts w:ascii="Aptos" w:hAnsi="Aptos"/>
                <w:sz w:val="18"/>
              </w:rPr>
              <w:t>Canonical DRG code.</w:t>
            </w:r>
          </w:p>
        </w:tc>
      </w:tr>
      <w:tr>
        <w:tc>
          <w:tcPr>
            <w:tcW w:type="dxa" w:w="2880"/>
            <w:vAlign w:val="center"/>
            <w:tcMar>
              <w:top w:w="90" w:type="dxa"/>
              <w:start w:w="100" w:type="dxa"/>
              <w:bottom w:w="90" w:type="dxa"/>
              <w:end w:w="100" w:type="dxa"/>
            </w:tcMar>
          </w:tcPr>
          <w:p>
            <w:pPr>
              <w:spacing w:after="0"/>
            </w:pPr>
            <w:r>
              <w:rPr>
                <w:rFonts w:ascii="Aptos" w:hAnsi="Aptos"/>
                <w:sz w:val="18"/>
              </w:rPr>
              <w:t>Document Title</w:t>
            </w:r>
          </w:p>
        </w:tc>
        <w:tc>
          <w:tcPr>
            <w:tcW w:type="dxa" w:w="7488"/>
            <w:vAlign w:val="center"/>
            <w:tcMar>
              <w:top w:w="90" w:type="dxa"/>
              <w:start w:w="100" w:type="dxa"/>
              <w:bottom w:w="90" w:type="dxa"/>
              <w:end w:w="100" w:type="dxa"/>
            </w:tcMar>
          </w:tcPr>
          <w:p>
            <w:pPr>
              <w:spacing w:after="0"/>
            </w:pPr>
            <w:r>
              <w:rPr>
                <w:rFonts w:ascii="Aptos" w:hAnsi="Aptos"/>
                <w:sz w:val="18"/>
              </w:rPr>
              <w:t>Full controlled title.</w:t>
            </w:r>
          </w:p>
        </w:tc>
      </w:tr>
      <w:tr>
        <w:tc>
          <w:tcPr>
            <w:tcW w:type="dxa" w:w="2880"/>
            <w:vAlign w:val="center"/>
            <w:tcMar>
              <w:top w:w="90" w:type="dxa"/>
              <w:start w:w="100" w:type="dxa"/>
              <w:bottom w:w="90" w:type="dxa"/>
              <w:end w:w="100" w:type="dxa"/>
            </w:tcMar>
          </w:tcPr>
          <w:p>
            <w:pPr>
              <w:spacing w:after="0"/>
            </w:pPr>
            <w:r>
              <w:rPr>
                <w:rFonts w:ascii="Aptos" w:hAnsi="Aptos"/>
                <w:sz w:val="18"/>
              </w:rPr>
              <w:t>Document Type / Layer</w:t>
            </w:r>
          </w:p>
        </w:tc>
        <w:tc>
          <w:tcPr>
            <w:tcW w:type="dxa" w:w="7488"/>
            <w:vAlign w:val="center"/>
            <w:tcMar>
              <w:top w:w="90" w:type="dxa"/>
              <w:start w:w="100" w:type="dxa"/>
              <w:bottom w:w="90" w:type="dxa"/>
              <w:end w:w="100" w:type="dxa"/>
            </w:tcMar>
          </w:tcPr>
          <w:p>
            <w:pPr>
              <w:spacing w:after="0"/>
            </w:pPr>
            <w:r>
              <w:rPr>
                <w:rFonts w:ascii="Aptos" w:hAnsi="Aptos"/>
                <w:sz w:val="18"/>
              </w:rPr>
              <w:t>Type and layer in the controlled hierarchy.</w:t>
            </w:r>
          </w:p>
        </w:tc>
      </w:tr>
      <w:tr>
        <w:tc>
          <w:tcPr>
            <w:tcW w:type="dxa" w:w="2880"/>
            <w:vAlign w:val="center"/>
            <w:tcMar>
              <w:top w:w="90" w:type="dxa"/>
              <w:start w:w="100" w:type="dxa"/>
              <w:bottom w:w="90" w:type="dxa"/>
              <w:end w:w="100" w:type="dxa"/>
            </w:tcMar>
          </w:tcPr>
          <w:p>
            <w:pPr>
              <w:spacing w:after="0"/>
            </w:pPr>
            <w:r>
              <w:rPr>
                <w:rFonts w:ascii="Aptos" w:hAnsi="Aptos"/>
                <w:sz w:val="18"/>
              </w:rPr>
              <w:t>Domain</w:t>
            </w:r>
          </w:p>
        </w:tc>
        <w:tc>
          <w:tcPr>
            <w:tcW w:type="dxa" w:w="7488"/>
            <w:vAlign w:val="center"/>
            <w:tcMar>
              <w:top w:w="90" w:type="dxa"/>
              <w:start w:w="100" w:type="dxa"/>
              <w:bottom w:w="90" w:type="dxa"/>
              <w:end w:w="100" w:type="dxa"/>
            </w:tcMar>
          </w:tcPr>
          <w:p>
            <w:pPr>
              <w:spacing w:after="0"/>
            </w:pPr>
            <w:r>
              <w:rPr>
                <w:rFonts w:ascii="Aptos" w:hAnsi="Aptos"/>
                <w:sz w:val="18"/>
              </w:rPr>
              <w:t>Assigned governance domain and approval route.</w:t>
            </w:r>
          </w:p>
        </w:tc>
      </w:tr>
      <w:tr>
        <w:tc>
          <w:tcPr>
            <w:tcW w:type="dxa" w:w="2880"/>
            <w:vAlign w:val="center"/>
            <w:tcMar>
              <w:top w:w="90" w:type="dxa"/>
              <w:start w:w="100" w:type="dxa"/>
              <w:bottom w:w="90" w:type="dxa"/>
              <w:end w:w="100" w:type="dxa"/>
            </w:tcMar>
          </w:tcPr>
          <w:p>
            <w:pPr>
              <w:spacing w:after="0"/>
            </w:pPr>
            <w:r>
              <w:rPr>
                <w:rFonts w:ascii="Aptos" w:hAnsi="Aptos"/>
                <w:sz w:val="18"/>
              </w:rPr>
              <w:t>Parent Document</w:t>
            </w:r>
          </w:p>
        </w:tc>
        <w:tc>
          <w:tcPr>
            <w:tcW w:type="dxa" w:w="7488"/>
            <w:vAlign w:val="center"/>
            <w:tcMar>
              <w:top w:w="90" w:type="dxa"/>
              <w:start w:w="100" w:type="dxa"/>
              <w:bottom w:w="90" w:type="dxa"/>
              <w:end w:w="100" w:type="dxa"/>
            </w:tcMar>
          </w:tcPr>
          <w:p>
            <w:pPr>
              <w:spacing w:after="0"/>
            </w:pPr>
            <w:r>
              <w:rPr>
                <w:rFonts w:ascii="Aptos" w:hAnsi="Aptos"/>
                <w:sz w:val="18"/>
              </w:rPr>
              <w:t>Authorising parent; mandatory except at the apex/companion level.</w:t>
            </w:r>
          </w:p>
        </w:tc>
      </w:tr>
      <w:tr>
        <w:tc>
          <w:tcPr>
            <w:tcW w:type="dxa" w:w="2880"/>
            <w:vAlign w:val="center"/>
            <w:tcMar>
              <w:top w:w="90" w:type="dxa"/>
              <w:start w:w="100" w:type="dxa"/>
              <w:bottom w:w="90" w:type="dxa"/>
              <w:end w:w="100" w:type="dxa"/>
            </w:tcMar>
          </w:tcPr>
          <w:p>
            <w:pPr>
              <w:spacing w:after="0"/>
            </w:pPr>
            <w:r>
              <w:rPr>
                <w:rFonts w:ascii="Aptos" w:hAnsi="Aptos"/>
                <w:sz w:val="18"/>
              </w:rPr>
              <w:t>Classification</w:t>
            </w:r>
          </w:p>
        </w:tc>
        <w:tc>
          <w:tcPr>
            <w:tcW w:type="dxa" w:w="7488"/>
            <w:vAlign w:val="center"/>
            <w:tcMar>
              <w:top w:w="90" w:type="dxa"/>
              <w:start w:w="100" w:type="dxa"/>
              <w:bottom w:w="90" w:type="dxa"/>
              <w:end w:w="100" w:type="dxa"/>
            </w:tcMar>
          </w:tcPr>
          <w:p>
            <w:pPr>
              <w:spacing w:after="0"/>
            </w:pPr>
            <w:r>
              <w:rPr>
                <w:rFonts w:ascii="Aptos" w:hAnsi="Aptos"/>
                <w:sz w:val="18"/>
              </w:rPr>
              <w:t>Controlled document information classification.</w:t>
            </w:r>
          </w:p>
        </w:tc>
      </w:tr>
      <w:tr>
        <w:tc>
          <w:tcPr>
            <w:tcW w:type="dxa" w:w="2880"/>
            <w:vAlign w:val="center"/>
            <w:tcMar>
              <w:top w:w="90" w:type="dxa"/>
              <w:start w:w="100" w:type="dxa"/>
              <w:bottom w:w="90" w:type="dxa"/>
              <w:end w:w="100" w:type="dxa"/>
            </w:tcMar>
          </w:tcPr>
          <w:p>
            <w:pPr>
              <w:spacing w:after="0"/>
            </w:pPr>
            <w:r>
              <w:rPr>
                <w:rFonts w:ascii="Aptos" w:hAnsi="Aptos"/>
                <w:sz w:val="18"/>
              </w:rPr>
              <w:t>Distribution</w:t>
            </w:r>
          </w:p>
        </w:tc>
        <w:tc>
          <w:tcPr>
            <w:tcW w:type="dxa" w:w="7488"/>
            <w:vAlign w:val="center"/>
            <w:tcMar>
              <w:top w:w="90" w:type="dxa"/>
              <w:start w:w="100" w:type="dxa"/>
              <w:bottom w:w="90" w:type="dxa"/>
              <w:end w:w="100" w:type="dxa"/>
            </w:tcMar>
          </w:tcPr>
          <w:p>
            <w:pPr>
              <w:spacing w:after="0"/>
            </w:pPr>
            <w:r>
              <w:rPr>
                <w:rFonts w:ascii="Aptos" w:hAnsi="Aptos"/>
                <w:sz w:val="18"/>
              </w:rPr>
              <w:t>Approved audience/restriction.</w:t>
            </w:r>
          </w:p>
        </w:tc>
      </w:tr>
      <w:tr>
        <w:tc>
          <w:tcPr>
            <w:tcW w:type="dxa" w:w="2880"/>
            <w:vAlign w:val="center"/>
            <w:tcMar>
              <w:top w:w="90" w:type="dxa"/>
              <w:start w:w="100" w:type="dxa"/>
              <w:bottom w:w="90" w:type="dxa"/>
              <w:end w:w="100" w:type="dxa"/>
            </w:tcMar>
          </w:tcPr>
          <w:p>
            <w:pPr>
              <w:spacing w:after="0"/>
            </w:pPr>
            <w:r>
              <w:rPr>
                <w:rFonts w:ascii="Aptos" w:hAnsi="Aptos"/>
                <w:sz w:val="18"/>
              </w:rPr>
              <w:t>Owner</w:t>
            </w:r>
          </w:p>
        </w:tc>
        <w:tc>
          <w:tcPr>
            <w:tcW w:type="dxa" w:w="7488"/>
            <w:vAlign w:val="center"/>
            <w:tcMar>
              <w:top w:w="90" w:type="dxa"/>
              <w:start w:w="100" w:type="dxa"/>
              <w:bottom w:w="90" w:type="dxa"/>
              <w:end w:w="100" w:type="dxa"/>
            </w:tcMar>
          </w:tcPr>
          <w:p>
            <w:pPr>
              <w:spacing w:after="0"/>
            </w:pPr>
            <w:r>
              <w:rPr>
                <w:rFonts w:ascii="Aptos" w:hAnsi="Aptos"/>
                <w:sz w:val="18"/>
              </w:rPr>
              <w:t>Accountable role.</w:t>
            </w:r>
          </w:p>
        </w:tc>
      </w:tr>
      <w:tr>
        <w:tc>
          <w:tcPr>
            <w:tcW w:type="dxa" w:w="2880"/>
            <w:vAlign w:val="center"/>
            <w:tcMar>
              <w:top w:w="90" w:type="dxa"/>
              <w:start w:w="100" w:type="dxa"/>
              <w:bottom w:w="90" w:type="dxa"/>
              <w:end w:w="100" w:type="dxa"/>
            </w:tcMar>
          </w:tcPr>
          <w:p>
            <w:pPr>
              <w:spacing w:after="0"/>
            </w:pPr>
            <w:r>
              <w:rPr>
                <w:rFonts w:ascii="Aptos" w:hAnsi="Aptos"/>
                <w:sz w:val="18"/>
              </w:rPr>
              <w:t>Approval roles</w:t>
            </w:r>
          </w:p>
        </w:tc>
        <w:tc>
          <w:tcPr>
            <w:tcW w:type="dxa" w:w="7488"/>
            <w:vAlign w:val="center"/>
            <w:tcMar>
              <w:top w:w="90" w:type="dxa"/>
              <w:start w:w="100" w:type="dxa"/>
              <w:bottom w:w="90" w:type="dxa"/>
              <w:end w:w="100" w:type="dxa"/>
            </w:tcMar>
          </w:tcPr>
          <w:p>
            <w:pPr>
              <w:spacing w:after="0"/>
            </w:pPr>
            <w:r>
              <w:rPr>
                <w:rFonts w:ascii="Aptos" w:hAnsi="Aptos"/>
                <w:sz w:val="18"/>
              </w:rPr>
              <w:t>First Pass and Final Approval roles.</w:t>
            </w:r>
          </w:p>
        </w:tc>
      </w:tr>
      <w:tr>
        <w:tc>
          <w:tcPr>
            <w:tcW w:type="dxa" w:w="2880"/>
            <w:vAlign w:val="center"/>
            <w:tcMar>
              <w:top w:w="90" w:type="dxa"/>
              <w:start w:w="100" w:type="dxa"/>
              <w:bottom w:w="90" w:type="dxa"/>
              <w:end w:w="100" w:type="dxa"/>
            </w:tcMar>
          </w:tcPr>
          <w:p>
            <w:pPr>
              <w:spacing w:after="0"/>
            </w:pPr>
            <w:r>
              <w:rPr>
                <w:rFonts w:ascii="Aptos" w:hAnsi="Aptos"/>
                <w:sz w:val="18"/>
              </w:rPr>
              <w:t>Version / Date</w:t>
            </w:r>
          </w:p>
        </w:tc>
        <w:tc>
          <w:tcPr>
            <w:tcW w:type="dxa" w:w="7488"/>
            <w:vAlign w:val="center"/>
            <w:tcMar>
              <w:top w:w="90" w:type="dxa"/>
              <w:start w:w="100" w:type="dxa"/>
              <w:bottom w:w="90" w:type="dxa"/>
              <w:end w:w="100" w:type="dxa"/>
            </w:tcMar>
          </w:tcPr>
          <w:p>
            <w:pPr>
              <w:spacing w:after="0"/>
            </w:pPr>
            <w:r>
              <w:rPr>
                <w:rFonts w:ascii="Aptos" w:hAnsi="Aptos"/>
                <w:sz w:val="18"/>
              </w:rPr>
              <w:t>Current issue identifier and issue date.</w:t>
            </w:r>
          </w:p>
        </w:tc>
      </w:tr>
      <w:tr>
        <w:tc>
          <w:tcPr>
            <w:tcW w:type="dxa" w:w="2880"/>
            <w:vAlign w:val="center"/>
            <w:tcMar>
              <w:top w:w="90" w:type="dxa"/>
              <w:start w:w="100" w:type="dxa"/>
              <w:bottom w:w="90" w:type="dxa"/>
              <w:end w:w="100" w:type="dxa"/>
            </w:tcMar>
          </w:tcPr>
          <w:p>
            <w:pPr>
              <w:spacing w:after="0"/>
            </w:pPr>
            <w:r>
              <w:rPr>
                <w:rFonts w:ascii="Aptos" w:hAnsi="Aptos"/>
                <w:sz w:val="18"/>
              </w:rPr>
              <w:t>Supersedes</w:t>
            </w:r>
          </w:p>
        </w:tc>
        <w:tc>
          <w:tcPr>
            <w:tcW w:type="dxa" w:w="7488"/>
            <w:vAlign w:val="center"/>
            <w:tcMar>
              <w:top w:w="90" w:type="dxa"/>
              <w:start w:w="100" w:type="dxa"/>
              <w:bottom w:w="90" w:type="dxa"/>
              <w:end w:w="100" w:type="dxa"/>
            </w:tcMar>
          </w:tcPr>
          <w:p>
            <w:pPr>
              <w:spacing w:after="0"/>
            </w:pPr>
            <w:r>
              <w:rPr>
                <w:rFonts w:ascii="Aptos" w:hAnsi="Aptos"/>
                <w:sz w:val="18"/>
              </w:rPr>
              <w:t>Prior controlled document(s) replaced, including formally retired predecessor guidance where applicable.</w:t>
            </w:r>
          </w:p>
        </w:tc>
      </w:tr>
      <w:tr>
        <w:tc>
          <w:tcPr>
            <w:tcW w:type="dxa" w:w="2880"/>
            <w:vAlign w:val="center"/>
            <w:tcMar>
              <w:top w:w="90" w:type="dxa"/>
              <w:start w:w="100" w:type="dxa"/>
              <w:bottom w:w="90" w:type="dxa"/>
              <w:end w:w="100" w:type="dxa"/>
            </w:tcMar>
          </w:tcPr>
          <w:p>
            <w:pPr>
              <w:spacing w:after="0"/>
            </w:pPr>
            <w:r>
              <w:rPr>
                <w:rFonts w:ascii="Aptos" w:hAnsi="Aptos"/>
                <w:sz w:val="18"/>
              </w:rPr>
              <w:t>Standards mapping</w:t>
            </w:r>
          </w:p>
        </w:tc>
        <w:tc>
          <w:tcPr>
            <w:tcW w:type="dxa" w:w="7488"/>
            <w:vAlign w:val="center"/>
            <w:tcMar>
              <w:top w:w="90" w:type="dxa"/>
              <w:start w:w="100" w:type="dxa"/>
              <w:bottom w:w="90" w:type="dxa"/>
              <w:end w:w="100" w:type="dxa"/>
            </w:tcMar>
          </w:tcPr>
          <w:p>
            <w:pPr>
              <w:spacing w:after="0"/>
            </w:pPr>
            <w:r>
              <w:rPr>
                <w:rFonts w:ascii="Aptos" w:hAnsi="Aptos"/>
                <w:sz w:val="18"/>
              </w:rPr>
              <w:t>Applicable ISO clauses/controls where relevant.</w:t>
            </w:r>
          </w:p>
        </w:tc>
      </w:tr>
    </w:tbl>
    <w:p/>
    <w:p>
      <w:r>
        <w:t>Mandatory content is determined by layer. Layer 3 Standards define discrete controls, measurable criteria, governing authority, required evidence and monitoring requirements. Layer 4 Procedures and Specifications implement those controls through clear roles, actions, handoffs and governed evidence references.</w:t>
      </w:r>
    </w:p>
    <w:p>
      <w:r>
        <w:t>Controlled documents shall state enduring requirements. Temporary implementation status, readiness blockers, unresolved project findings and current conflict narration belong in an implementation, transition or readiness record - not in the permanent control body.</w:t>
      </w:r>
    </w:p>
    <w:p>
      <w:pPr>
        <w:pStyle w:val="Heading1"/>
      </w:pPr>
      <w:r>
        <w:t>6.0 AUTHORING STANDARD</w:t>
      </w:r>
    </w:p>
    <w:p>
      <w:pPr>
        <w:pStyle w:val="Heading2"/>
      </w:pPr>
      <w:r>
        <w:t>6.1 Structure and language</w:t>
      </w:r>
    </w:p>
    <w:p>
      <w:pPr>
        <w:pStyle w:val="ListBullet"/>
      </w:pPr>
      <w:r>
        <w:t>Use simple, direct language and active voice.</w:t>
      </w:r>
    </w:p>
    <w:p>
      <w:pPr>
        <w:pStyle w:val="ListBullet"/>
      </w:pPr>
      <w:r>
        <w:t>Use SHALL/MUST for mandatory requirements, SHOULD for recommended requirements and MAY for optional permissions.</w:t>
      </w:r>
    </w:p>
    <w:p>
      <w:pPr>
        <w:pStyle w:val="ListBullet"/>
      </w:pPr>
      <w:r>
        <w:t>Use canonical role titles, not personal names, in substantive control text.</w:t>
      </w:r>
    </w:p>
    <w:p>
      <w:pPr>
        <w:pStyle w:val="ListBullet"/>
      </w:pPr>
      <w:r>
        <w:t>Use numbered steps for sequential procedures and bullets for non-sequential requirements.</w:t>
      </w:r>
    </w:p>
    <w:p>
      <w:pPr>
        <w:pStyle w:val="ListBullet"/>
      </w:pPr>
      <w:r>
        <w:t>Name both roles where a procedural step hands off responsibility.</w:t>
      </w:r>
    </w:p>
    <w:p>
      <w:pPr>
        <w:pStyle w:val="ListBullet"/>
      </w:pPr>
      <w:r>
        <w:t>Reference authoritative internal and external controls instead of restating them merely to make a document self-contained.</w:t>
      </w:r>
    </w:p>
    <w:p>
      <w:pPr>
        <w:pStyle w:val="Heading2"/>
      </w:pPr>
      <w:r>
        <w:t>6.2 Controls, evidence and records</w:t>
      </w:r>
    </w:p>
    <w:p>
      <w:r>
        <w:t>Every control or requirement that is intended to be auditable shall identify the evidence that demonstrates operation. The evidence shall be identified by the approved Record Name or by a governed reference capable of resolving to that Record Name/Record ID.</w:t>
      </w:r>
    </w:p>
    <w:p>
      <w:pPr>
        <w:pStyle w:val="ListBullet"/>
      </w:pPr>
      <w:r>
        <w:t>A control with no identifiable evidence is incomplete unless the nature of the control genuinely produces no retained evidence.</w:t>
      </w:r>
    </w:p>
    <w:p>
      <w:pPr>
        <w:pStyle w:val="ListBullet"/>
      </w:pPr>
      <w:r>
        <w:t>Evidence labels shall be specific enough to distinguish the organisational evidence required. Vague labels such as supporting documents, attachments or relevant records are avoided where a governed Record Name can reasonably be stated.</w:t>
      </w:r>
    </w:p>
    <w:p>
      <w:pPr>
        <w:pStyle w:val="ListBullet"/>
      </w:pPr>
      <w:r>
        <w:t>The control document identifies what evidence is required; enterprise metadata such as authoritative retention and findability is maintained through the records-governance family rather than repeatedly rewritten into each control.</w:t>
      </w:r>
    </w:p>
    <w:p>
      <w:pPr>
        <w:pStyle w:val="Heading2"/>
      </w:pPr>
      <w:r>
        <w:t>6.3 Automated procedures and system evidence</w:t>
      </w:r>
    </w:p>
    <w:p>
      <w:r>
        <w:t>Where a control or procedure is executed by an application, workflow, script, API, platform or automated agent, the document shall identify the evidence the automation produces and how that evidence is retrieved or verified. A process is not considered fully controlled merely because automation runs successfully if its operation cannot be evidenced.</w:t>
      </w:r>
    </w:p>
    <w:p>
      <w:pPr>
        <w:pStyle w:val="Heading2"/>
      </w:pPr>
      <w:r>
        <w:t>6.4 Authoring for GRC readiness</w:t>
      </w:r>
    </w:p>
    <w:p>
      <w:r>
        <w:t>Controlled documents shall be authored so that controls, responsibilities, evidence, monitoring requirements, risks and procedural steps can be represented in the GRC environment without interpretation or reconstruction.</w:t>
      </w:r>
    </w:p>
    <w:p>
      <w:pPr>
        <w:pStyle w:val="ListBullet"/>
      </w:pPr>
      <w:r>
        <w:t>Express each control as a discrete, self-contained and testable requirement. Avoid combining several independent controls in one sentence.</w:t>
      </w:r>
    </w:p>
    <w:p>
      <w:pPr>
        <w:pStyle w:val="ListBullet"/>
      </w:pPr>
      <w:r>
        <w:t>Identify the governing source or authority where the control derives from law, regulation, contract, standard, policy or another approved control.</w:t>
      </w:r>
    </w:p>
    <w:p>
      <w:pPr>
        <w:pStyle w:val="ListBullet"/>
      </w:pPr>
      <w:r>
        <w:t>Use the canonical organisational role title for the owner/responsible role.</w:t>
      </w:r>
    </w:p>
    <w:p>
      <w:pPr>
        <w:pStyle w:val="ListBullet"/>
      </w:pPr>
      <w:r>
        <w:t>Name the approved Record Name/Record ID that evidences the control where one exists.</w:t>
      </w:r>
    </w:p>
    <w:p>
      <w:pPr>
        <w:pStyle w:val="ListBullet"/>
      </w:pPr>
      <w:r>
        <w:t>Where the control is monitored, state the monitoring method, cadence and responsible role, or reference the authoritative control metadata carrying those values.</w:t>
      </w:r>
    </w:p>
    <w:p>
      <w:pPr>
        <w:pStyle w:val="ListBullet"/>
      </w:pPr>
      <w:r>
        <w:t>State thresholds, exception conditions and escalation requirements where they are part of the control.</w:t>
      </w:r>
    </w:p>
    <w:p>
      <w:pPr>
        <w:pStyle w:val="ListBullet"/>
      </w:pPr>
      <w:r>
        <w:t>Write procedural steps as discrete ordered actions with the responsible role identified at each step.</w:t>
      </w:r>
    </w:p>
    <w:p>
      <w:pPr>
        <w:pStyle w:val="ListBullet"/>
      </w:pPr>
      <w:r>
        <w:t>Apply the principle 'authoritative reference first; governed extension where necessary'. Where a governed object already exists - for example a risk, record, role, classification, obligation, control or register entry - reference the authoritative object rather than create a competing permanent version.</w:t>
      </w:r>
    </w:p>
    <w:p>
      <w:pPr>
        <w:pStyle w:val="ListBullet"/>
      </w:pPr>
      <w:r>
        <w:t>Where drafting identifies a genuine gap, the author or authorised AI/GRC agent may propose a new or amended governed object and route it through the applicable governance process. Drafting need not stop merely because the authoritative estate is incomplete; any such object remains clearly provisional until approved by the applicable authority.</w:t>
      </w:r>
    </w:p>
    <w:p>
      <w:pPr>
        <w:pStyle w:val="ListBullet"/>
      </w:pPr>
      <w:r>
        <w:t>For automated controls, identify the system-generated evidence and the authoritative route for retrieving or verifying it.</w:t>
      </w:r>
    </w:p>
    <w:p>
      <w:pPr>
        <w:pStyle w:val="ListBullet"/>
      </w:pPr>
      <w:r>
        <w:t>Use consistent canonical terminology so that the same control, role, record, risk or obligation is not extracted as multiple objects.</w:t>
      </w:r>
    </w:p>
    <w:p>
      <w:r>
        <w:t>GRC or AI tooling may identify, structure, map and propose new or amended governed objects where a genuine gap is discovered. It shall not self-authorise the final control decision, taxonomy entry, risk rating, ownership, approval, retention rule or other governed status; those remain subject to the applicable human/governance authority.</w:t>
      </w:r>
    </w:p>
    <w:p>
      <w:pPr/>
      <w:r>
        <w:t>The drafting system therefore has a productive path in both cases: reuse an authoritative object where one exists; otherwise propose the missing object, continue the draft with a provisional reference where necessary, and route the proposal for governance. This prevents both uncontrolled invention and artificial drafting dead ends.</w:t>
      </w:r>
    </w:p>
    <w:p>
      <w:pPr>
        <w:pStyle w:val="Heading2"/>
      </w:pPr>
      <w:r>
        <w:t>6.5 Records taxonomy and drafting discipline</w:t>
      </w:r>
    </w:p>
    <w:p>
      <w:r>
        <w:t>The approved Record Type Taxonomy is the exhaustive list of Record Types currently authorised for use. It is controlled but extensible by governed exception. A new Record Name does not imply a new Record Type.</w:t>
      </w:r>
    </w:p>
    <w:p>
      <w:pPr>
        <w:pStyle w:val="ListNumber"/>
      </w:pPr>
      <w:r>
        <w:t>Identify the evidence the control requires or produces and give it a clear proposed Record Name.</w:t>
      </w:r>
    </w:p>
    <w:p>
      <w:pPr>
        <w:pStyle w:val="ListNumber"/>
      </w:pPr>
      <w:r>
        <w:t>Search the approved taxonomy and map the Record Name to an existing Record Type wherever the semantic fit is reasonable.</w:t>
      </w:r>
    </w:p>
    <w:p>
      <w:pPr>
        <w:pStyle w:val="ListNumber"/>
      </w:pPr>
      <w:r>
        <w:t>Do not create a new Record Type because a department, process, client, system, channel, file format or storage location is different.</w:t>
      </w:r>
    </w:p>
    <w:p>
      <w:pPr>
        <w:pStyle w:val="ListNumber"/>
      </w:pPr>
      <w:r>
        <w:t>If no approved Record Type can describe the evidence without distorting its meaning, raise a Record Type Extension Request before the control is approved.</w:t>
      </w:r>
    </w:p>
    <w:p>
      <w:pPr>
        <w:pStyle w:val="ListNumber"/>
      </w:pPr>
      <w:r>
        <w:t>A proposed Record Type becomes authorised only after approval and controlled update of the taxonomy.</w:t>
      </w:r>
    </w:p>
    <w:p>
      <w:r>
        <w:t>Record Type defines semantics only. Custodian, authoritative location, retrieval instruction, retention, trigger, authority, disposition, destruction method and other operational governance attributes are assigned to the governed Record Name in its applicable process/control context.</w:t>
      </w:r>
    </w:p>
    <w:p>
      <w:pPr>
        <w:pStyle w:val="Heading2"/>
      </w:pPr>
      <w:r>
        <w:t>6.6 Prohibited authoring and records-governance patterns</w:t>
      </w:r>
    </w:p>
    <w:p>
      <w:pPr>
        <w:pStyle w:val="ListBullet"/>
      </w:pPr>
      <w:r>
        <w:t>Creating, renaming or redefining a Record Type locally inside a Policy, Standard, Procedure, SOP, Manual, form, template or system configuration.</w:t>
      </w:r>
    </w:p>
    <w:p>
      <w:pPr>
        <w:pStyle w:val="ListBullet"/>
      </w:pPr>
      <w:r>
        <w:t>Using file format, channel, platform, physical packaging, privacy status or storage technology as a Record Type (for example PDF, Email, Attachment, PII Record, Database Data or Cloud Record).</w:t>
      </w:r>
    </w:p>
    <w:p>
      <w:pPr>
        <w:pStyle w:val="ListBullet"/>
      </w:pPr>
      <w:r>
        <w:t>Assigning a universal custodian, location, retention rule or disposition to a Record Type.</w:t>
      </w:r>
    </w:p>
    <w:p>
      <w:pPr>
        <w:pStyle w:val="ListBullet"/>
      </w:pPr>
      <w:r>
        <w:t>Creating a private retention schedule, local archive rule, local destruction rule or competing authoritative location for an already governed Record Name.</w:t>
      </w:r>
    </w:p>
    <w:p>
      <w:pPr>
        <w:pStyle w:val="ListBullet"/>
      </w:pPr>
      <w:r>
        <w:t>Treating a minimum period stated as at least X as an automatic deletion date, or stating permanent retention without an approved authority.</w:t>
      </w:r>
    </w:p>
    <w:p>
      <w:pPr>
        <w:pStyle w:val="ListBullet"/>
      </w:pPr>
      <w:r>
        <w:t>Treating deletion from a working system, mailbox or production database as proof of complete disposition without considering the authoritative source, legal hold, archives and backup treatment.</w:t>
      </w:r>
    </w:p>
    <w:p>
      <w:pPr>
        <w:pStyle w:val="ListBullet"/>
      </w:pPr>
      <w:r>
        <w:t>Duplicating specialist authoritative registers such as ROPA, SRML, Risk Register, incident masters or access-control masters instead of referencing the authoritative object.</w:t>
      </w:r>
    </w:p>
    <w:p>
      <w:pPr>
        <w:pStyle w:val="ListBullet"/>
      </w:pPr>
      <w:r>
        <w:t>Recreating the same incident, nonconformity, complaint, risk, exception or action as a new master merely because it appears in another dashboard, report or register.</w:t>
      </w:r>
    </w:p>
    <w:p>
      <w:pPr>
        <w:pStyle w:val="ListBullet"/>
      </w:pPr>
      <w:r>
        <w:t>Embedding temporary programme status, reconciliation findings, implementation blockers or live document conflicts in an enduring control document.</w:t>
      </w:r>
    </w:p>
    <w:p>
      <w:pPr>
        <w:pStyle w:val="Heading1"/>
      </w:pPr>
      <w:r>
        <w:t>7.0 CONTROL MONITORING &amp; EVIDENCE ASSURANCE</w:t>
      </w:r>
    </w:p>
    <w:p>
      <w:r>
        <w:t>Monitoring originates in control design. Where a control is subject to ongoing compliance monitoring, its governing metadata shall define the monitoring method, cadence, responsible role, evidence source and evidence freshness rule. Those values are maintained with the control and its evidence references rather than hard-coded into this Procedure.</w:t>
      </w:r>
    </w:p>
    <w:p>
      <w:pPr>
        <w:pStyle w:val="ListNumber"/>
      </w:pPr>
      <w:r>
        <w:t>Plan: identify the controls, obligations and evidence to be monitored for the period.</w:t>
      </w:r>
    </w:p>
    <w:p>
      <w:pPr>
        <w:pStyle w:val="ListNumber"/>
      </w:pPr>
      <w:r>
        <w:t>Collect: obtain evidence from the authoritative source or governed Record Name.</w:t>
      </w:r>
    </w:p>
    <w:p>
      <w:pPr>
        <w:pStyle w:val="ListNumber"/>
      </w:pPr>
      <w:r>
        <w:t>Check: determine whether the control operated and whether the evidence is present, complete and current.</w:t>
      </w:r>
    </w:p>
    <w:p>
      <w:pPr>
        <w:pStyle w:val="ListNumber"/>
      </w:pPr>
      <w:r>
        <w:t>Record: record the monitoring result against the control and source evidence.</w:t>
      </w:r>
    </w:p>
    <w:p>
      <w:pPr>
        <w:pStyle w:val="ListNumber"/>
      </w:pPr>
      <w:r>
        <w:t>Escalate: raise and follow up exceptions; unresolved or systemic exceptions follow the applicable escalation, nonconformity, incident or improvement route.</w:t>
      </w:r>
    </w:p>
    <w:p>
      <w:pPr>
        <w:pStyle w:val="ListNumber"/>
      </w:pPr>
      <w:r>
        <w:t>Report: aggregate monitoring status and trends without creating a second master for the underlying item.</w:t>
      </w:r>
    </w:p>
    <w:p>
      <w:r>
        <w:t>Evidence freshness is distinct from record retention. Evidence may still be validly retained yet too old to demonstrate current operation of a monitored control.</w:t>
      </w:r>
    </w:p>
    <w:p>
      <w:r>
        <w:t>Compliance monitoring is continuous or periodic operational assurance. Internal Audit is independent assurance. The two are complementary and shall not be treated as substitutes.</w:t>
      </w:r>
    </w:p>
    <w:p>
      <w:r>
        <w:t>One record of truth. Every incident, nonconformity, complaint, risk, improvement, audit finding or control exception is created, owned and tracked to closure in one authoritative source record. Other registers, views and reports link or reference that source; they do not re-create, re-own or re-track it.</w:t>
      </w:r>
    </w:p>
    <w:p>
      <w:pPr>
        <w:pStyle w:val="Heading1"/>
      </w:pPr>
      <w:r>
        <w:t>8.0 ROLES &amp; ORGANOGRAM</w:t>
      </w:r>
    </w:p>
    <w:tbl>
      <w:tblPr>
        <w:tblW w:type="auto" w:w="0"/>
        <w:jc w:val="center"/>
        <w:tblLayout w:type="fixed"/>
        <w:tblLook w:firstColumn="1" w:firstRow="1" w:lastColumn="0" w:lastRow="0" w:noHBand="0" w:noVBand="1" w:val="04A0"/>
      </w:tblPr>
      <w:tblGrid>
        <w:gridCol w:w="3024"/>
        <w:gridCol w:w="7344"/>
      </w:tblGrid>
      <w:tr>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Role</w:t>
            </w:r>
          </w:p>
        </w:tc>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Responsibility</w:t>
            </w:r>
          </w:p>
        </w:tc>
      </w:tr>
      <w:tr>
        <w:tc>
          <w:tcPr>
            <w:tcW w:type="dxa" w:w="3024"/>
            <w:vAlign w:val="center"/>
            <w:tcMar>
              <w:top w:w="90" w:type="dxa"/>
              <w:start w:w="100" w:type="dxa"/>
              <w:bottom w:w="90" w:type="dxa"/>
              <w:end w:w="100" w:type="dxa"/>
            </w:tcMar>
          </w:tcPr>
          <w:p>
            <w:pPr>
              <w:spacing w:after="0"/>
            </w:pPr>
            <w:r>
              <w:rPr>
                <w:rFonts w:ascii="Aptos" w:hAnsi="Aptos"/>
                <w:sz w:val="18"/>
              </w:rPr>
              <w:t>Document Owner</w:t>
            </w:r>
          </w:p>
        </w:tc>
        <w:tc>
          <w:tcPr>
            <w:tcW w:type="dxa" w:w="7344"/>
            <w:vAlign w:val="center"/>
            <w:tcMar>
              <w:top w:w="90" w:type="dxa"/>
              <w:start w:w="100" w:type="dxa"/>
              <w:bottom w:w="90" w:type="dxa"/>
              <w:end w:w="100" w:type="dxa"/>
            </w:tcMar>
          </w:tcPr>
          <w:p>
            <w:pPr>
              <w:spacing w:after="0"/>
            </w:pPr>
            <w:r>
              <w:rPr>
                <w:rFonts w:ascii="Aptos" w:hAnsi="Aptos"/>
                <w:sz w:val="18"/>
              </w:rPr>
              <w:t>Drafts and maintains the document; confirms hierarchy, domain, accuracy, mandatory content and governed evidence references; initiates review and maintains revision history.</w:t>
            </w:r>
          </w:p>
        </w:tc>
      </w:tr>
      <w:tr>
        <w:tc>
          <w:tcPr>
            <w:tcW w:type="dxa" w:w="3024"/>
            <w:vAlign w:val="center"/>
            <w:tcMar>
              <w:top w:w="90" w:type="dxa"/>
              <w:start w:w="100" w:type="dxa"/>
              <w:bottom w:w="90" w:type="dxa"/>
              <w:end w:w="100" w:type="dxa"/>
            </w:tcMar>
          </w:tcPr>
          <w:p>
            <w:pPr>
              <w:spacing w:after="0"/>
            </w:pPr>
            <w:r>
              <w:rPr>
                <w:rFonts w:ascii="Aptos" w:hAnsi="Aptos"/>
                <w:sz w:val="18"/>
              </w:rPr>
              <w:t>Line Manager / Process Owner</w:t>
            </w:r>
          </w:p>
        </w:tc>
        <w:tc>
          <w:tcPr>
            <w:tcW w:type="dxa" w:w="7344"/>
            <w:vAlign w:val="center"/>
            <w:tcMar>
              <w:top w:w="90" w:type="dxa"/>
              <w:start w:w="100" w:type="dxa"/>
              <w:bottom w:w="90" w:type="dxa"/>
              <w:end w:w="100" w:type="dxa"/>
            </w:tcMar>
          </w:tcPr>
          <w:p>
            <w:pPr>
              <w:spacing w:after="0"/>
            </w:pPr>
            <w:r>
              <w:rPr>
                <w:rFonts w:ascii="Aptos" w:hAnsi="Aptos"/>
                <w:sz w:val="18"/>
              </w:rPr>
              <w:t>Confirms operational accuracy and practicality; ensures affected staff use the current controlled version and supports sensitisation.</w:t>
            </w:r>
          </w:p>
        </w:tc>
      </w:tr>
      <w:tr>
        <w:tc>
          <w:tcPr>
            <w:tcW w:type="dxa" w:w="3024"/>
            <w:vAlign w:val="center"/>
            <w:tcMar>
              <w:top w:w="90" w:type="dxa"/>
              <w:start w:w="100" w:type="dxa"/>
              <w:bottom w:w="90" w:type="dxa"/>
              <w:end w:w="100" w:type="dxa"/>
            </w:tcMar>
          </w:tcPr>
          <w:p>
            <w:pPr>
              <w:spacing w:after="0"/>
            </w:pPr>
            <w:r>
              <w:rPr>
                <w:rFonts w:ascii="Aptos" w:hAnsi="Aptos"/>
                <w:sz w:val="18"/>
              </w:rPr>
              <w:t>Compliance</w:t>
            </w:r>
          </w:p>
        </w:tc>
        <w:tc>
          <w:tcPr>
            <w:tcW w:type="dxa" w:w="7344"/>
            <w:vAlign w:val="center"/>
            <w:tcMar>
              <w:top w:w="90" w:type="dxa"/>
              <w:start w:w="100" w:type="dxa"/>
              <w:bottom w:w="90" w:type="dxa"/>
              <w:end w:w="100" w:type="dxa"/>
            </w:tcMar>
          </w:tcPr>
          <w:p>
            <w:pPr>
              <w:spacing w:after="0"/>
            </w:pPr>
            <w:r>
              <w:rPr>
                <w:rFonts w:ascii="Aptos" w:hAnsi="Aptos"/>
                <w:sz w:val="18"/>
              </w:rPr>
              <w:t>Enforces CDI rules, checks duplication/conflict, maintains the Document Register and coordinates controlled-document regularisation.</w:t>
            </w:r>
          </w:p>
        </w:tc>
      </w:tr>
      <w:tr>
        <w:tc>
          <w:tcPr>
            <w:tcW w:type="dxa" w:w="3024"/>
            <w:vAlign w:val="center"/>
            <w:tcMar>
              <w:top w:w="90" w:type="dxa"/>
              <w:start w:w="100" w:type="dxa"/>
              <w:bottom w:w="90" w:type="dxa"/>
              <w:end w:w="100" w:type="dxa"/>
            </w:tcMar>
          </w:tcPr>
          <w:p>
            <w:pPr>
              <w:spacing w:after="0"/>
            </w:pPr>
            <w:r>
              <w:rPr>
                <w:rFonts w:ascii="Aptos" w:hAnsi="Aptos"/>
                <w:sz w:val="18"/>
              </w:rPr>
              <w:t>Information Security</w:t>
            </w:r>
          </w:p>
        </w:tc>
        <w:tc>
          <w:tcPr>
            <w:tcW w:type="dxa" w:w="7344"/>
            <w:vAlign w:val="center"/>
            <w:tcMar>
              <w:top w:w="90" w:type="dxa"/>
              <w:start w:w="100" w:type="dxa"/>
              <w:bottom w:w="90" w:type="dxa"/>
              <w:end w:w="100" w:type="dxa"/>
            </w:tcMar>
          </w:tcPr>
          <w:p>
            <w:pPr>
              <w:spacing w:after="0"/>
            </w:pPr>
            <w:r>
              <w:rPr>
                <w:rFonts w:ascii="Aptos" w:hAnsi="Aptos"/>
                <w:sz w:val="18"/>
              </w:rPr>
              <w:t>Confirms ISMS alignment and applicable information-security controls.</w:t>
            </w:r>
          </w:p>
        </w:tc>
      </w:tr>
      <w:tr>
        <w:tc>
          <w:tcPr>
            <w:tcW w:type="dxa" w:w="3024"/>
            <w:vAlign w:val="center"/>
            <w:tcMar>
              <w:top w:w="90" w:type="dxa"/>
              <w:start w:w="100" w:type="dxa"/>
              <w:bottom w:w="90" w:type="dxa"/>
              <w:end w:w="100" w:type="dxa"/>
            </w:tcMar>
          </w:tcPr>
          <w:p>
            <w:pPr>
              <w:spacing w:after="0"/>
            </w:pPr>
            <w:r>
              <w:rPr>
                <w:rFonts w:ascii="Aptos" w:hAnsi="Aptos"/>
                <w:sz w:val="18"/>
              </w:rPr>
              <w:t>Human Resources</w:t>
            </w:r>
          </w:p>
        </w:tc>
        <w:tc>
          <w:tcPr>
            <w:tcW w:type="dxa" w:w="7344"/>
            <w:vAlign w:val="center"/>
            <w:tcMar>
              <w:top w:w="90" w:type="dxa"/>
              <w:start w:w="100" w:type="dxa"/>
              <w:bottom w:w="90" w:type="dxa"/>
              <w:end w:w="100" w:type="dxa"/>
            </w:tcMar>
          </w:tcPr>
          <w:p>
            <w:pPr>
              <w:spacing w:after="0"/>
            </w:pPr>
            <w:r>
              <w:rPr>
                <w:rFonts w:ascii="Aptos" w:hAnsi="Aptos"/>
                <w:sz w:val="18"/>
              </w:rPr>
              <w:t>Maintains the controlled organogram and canonical role structure.</w:t>
            </w:r>
          </w:p>
        </w:tc>
      </w:tr>
      <w:tr>
        <w:tc>
          <w:tcPr>
            <w:tcW w:type="dxa" w:w="3024"/>
            <w:vAlign w:val="center"/>
            <w:tcMar>
              <w:top w:w="90" w:type="dxa"/>
              <w:start w:w="100" w:type="dxa"/>
              <w:bottom w:w="90" w:type="dxa"/>
              <w:end w:w="100" w:type="dxa"/>
            </w:tcMar>
          </w:tcPr>
          <w:p>
            <w:pPr>
              <w:spacing w:after="0"/>
            </w:pPr>
            <w:r>
              <w:rPr>
                <w:rFonts w:ascii="Aptos" w:hAnsi="Aptos"/>
                <w:sz w:val="18"/>
              </w:rPr>
              <w:t>All Staff</w:t>
            </w:r>
          </w:p>
        </w:tc>
        <w:tc>
          <w:tcPr>
            <w:tcW w:type="dxa" w:w="7344"/>
            <w:vAlign w:val="center"/>
            <w:tcMar>
              <w:top w:w="90" w:type="dxa"/>
              <w:start w:w="100" w:type="dxa"/>
              <w:bottom w:w="90" w:type="dxa"/>
              <w:end w:w="100" w:type="dxa"/>
            </w:tcMar>
          </w:tcPr>
          <w:p>
            <w:pPr>
              <w:spacing w:after="0"/>
            </w:pPr>
            <w:r>
              <w:rPr>
                <w:rFonts w:ascii="Aptos" w:hAnsi="Aptos"/>
                <w:sz w:val="18"/>
              </w:rPr>
              <w:t>Use current controlled documents and authoritative records; report outdated, conflicting or uncontrolled copies.</w:t>
            </w:r>
          </w:p>
        </w:tc>
      </w:tr>
    </w:tbl>
    <w:p/>
    <w:p>
      <w:r>
        <w:t>Roles in controlled documents are named by controlled organisational title, not by individual. The current controlled organogram is the authority for role existence and reporting relationships.</w:t>
      </w:r>
    </w:p>
    <w:p>
      <w:pPr>
        <w:pStyle w:val="Heading1"/>
      </w:pPr>
      <w:r>
        <w:t>9.0 APPROVAL AUTHORITY</w:t>
      </w:r>
    </w:p>
    <w:p>
      <w:r>
        <w:t>Approval authority is determined by the approved domain-based route. First Pass Approval and Final Approval are segregated roles. The Document Owner is an accountability role and does not by itself satisfy either approval gate.</w:t>
      </w:r>
    </w:p>
    <w:p>
      <w:r>
        <w:t>Cross-domain documents are assigned to the domain whose accountable authority owns the principal control objective; other materially affected domains participate in review. Reclassification is controlled and does not occur merely because another department contributes to the document.</w:t>
      </w:r>
    </w:p>
    <w:p>
      <w:pPr>
        <w:pStyle w:val="Heading1"/>
      </w:pPr>
      <w:r>
        <w:t>10.0 DOCUMENT LIFECYCLE</w:t>
      </w:r>
    </w:p>
    <w:p>
      <w:pPr>
        <w:pStyle w:val="ListNumber"/>
      </w:pPr>
      <w:r>
        <w:t>Draft and classify the document; confirm domain, layer, parent and control block.</w:t>
      </w:r>
    </w:p>
    <w:p>
      <w:pPr>
        <w:pStyle w:val="ListNumber"/>
      </w:pPr>
      <w:r>
        <w:t>Conduct stakeholder review for accuracy and practicality.</w:t>
      </w:r>
    </w:p>
    <w:p>
      <w:pPr>
        <w:pStyle w:val="ListNumber"/>
      </w:pPr>
      <w:r>
        <w:t>Complete required sensitisation for new or materially changed controls and record the briefing.</w:t>
      </w:r>
    </w:p>
    <w:p>
      <w:pPr>
        <w:pStyle w:val="ListNumber"/>
      </w:pPr>
      <w:r>
        <w:t>Complete First Pass and Final Approval using the approved route.</w:t>
      </w:r>
    </w:p>
    <w:p>
      <w:pPr>
        <w:pStyle w:val="ListNumber"/>
      </w:pPr>
      <w:r>
        <w:t>Publish the controlled master, update the Document Register and remove uncontrolled current-use copies.</w:t>
      </w:r>
    </w:p>
    <w:p>
      <w:pPr>
        <w:pStyle w:val="ListNumber"/>
      </w:pPr>
      <w:r>
        <w:t>Review at least annually and on material change, incident, regulatory change or other stated trigger.</w:t>
      </w:r>
    </w:p>
    <w:p>
      <w:pPr>
        <w:pStyle w:val="ListNumber"/>
      </w:pPr>
      <w:r>
        <w:t>Supersede or retire through controlled change; archive the replaced version read-only and preserve traceability.</w:t>
      </w:r>
    </w:p>
    <w:p>
      <w:pPr>
        <w:pStyle w:val="Heading1"/>
      </w:pPr>
      <w:r>
        <w:t>11.0 DOCUMENT REGISTER &amp; EXTERNAL DOCUMENTS</w:t>
      </w:r>
    </w:p>
    <w:p>
      <w:r>
        <w:t>The Document Register is the authoritative index of controlled governing documents. It records the current controlled identity, version, owner, parent, domain, approval status, effective date and supersession status. Operational registers and records are not hierarchy layers and are governed through the applicable control family.</w:t>
      </w:r>
    </w:p>
    <w:p>
      <w:r>
        <w:t>External documents required for the QMS/ISMS are identified, kept current and referenced from the control that depends on them. A local copy does not become authoritative merely because it is stored internally.</w:t>
      </w:r>
    </w:p>
    <w:p>
      <w:pPr>
        <w:pStyle w:val="Heading1"/>
      </w:pPr>
      <w:r>
        <w:t>12.0 AUDIT, REVIEW &amp; IMPROVEMENT</w:t>
      </w:r>
    </w:p>
    <w:p>
      <w:r>
        <w:t>Compliance reviews the controlled-document estate for hierarchy, duplication, authoring quality, GRC readiness, evidence declarations, stale references and anti-patterns. Findings are handled through the applicable source record - for example incident, nonconformity, improvement or document-change record - rather than through parallel trackers.</w:t>
      </w:r>
    </w:p>
    <w:p>
      <w:r>
        <w:t>The effectiveness of this Procedure is tested through internal audit and Management Review. Monitoring and audit results may trigger controlled revisions, taxonomy updates, record-governance regularisation or retirement of obsolete documents.</w:t>
      </w:r>
    </w:p>
    <w:p>
      <w:pPr>
        <w:pStyle w:val="Heading1"/>
      </w:pPr>
      <w:r>
        <w:t>13.0 SUPERSESSION &amp; RELATED DOCUMENTS</w:t>
      </w:r>
    </w:p>
    <w:p>
      <w:r>
        <w:t>On formal issue of this Procedure, the Document Authoring Guide (DRG-QI-GDL-DAG-01-26) is retired in full because its enduring authoring, automated-evidence and GRC-readiness rules are consolidated here.</w:t>
      </w:r>
    </w:p>
    <w:p>
      <w:r>
        <w:t>On formal issue of this Procedure, the Compliance Monitoring Procedure (DRG-QI-PRO-CM-01-26) is retired after confirmation that any service-specific operational requirement not represented elsewhere has been reassigned. Its generic control-monitoring, evidence-freshness, exception/escalation, reporting, Internal Audit distinction and one-record-of-truth principles are consolidated here.</w:t>
      </w:r>
    </w:p>
    <w:p>
      <w:pPr>
        <w:pStyle w:val="ListBullet"/>
      </w:pPr>
      <w:r>
        <w:t>Control of Documented Information Policy</w:t>
      </w:r>
    </w:p>
    <w:p>
      <w:pPr>
        <w:pStyle w:val="ListBullet"/>
      </w:pPr>
      <w:r>
        <w:t>Information &amp; Records Governance Standard</w:t>
      </w:r>
    </w:p>
    <w:p>
      <w:pPr>
        <w:pStyle w:val="ListBullet"/>
      </w:pPr>
      <w:r>
        <w:t>Records Taxonomy &amp; Metadata Specification</w:t>
      </w:r>
    </w:p>
    <w:p>
      <w:pPr>
        <w:pStyle w:val="ListBullet"/>
      </w:pPr>
      <w:r>
        <w:t>Enterprise Records Catalogue</w:t>
      </w:r>
    </w:p>
    <w:p>
      <w:pPr>
        <w:pStyle w:val="ListBullet"/>
      </w:pPr>
      <w:r>
        <w:t>Information Classification control family</w:t>
      </w:r>
    </w:p>
    <w:p>
      <w:pPr>
        <w:pStyle w:val="ListBullet"/>
      </w:pPr>
      <w:r>
        <w:t>Data Protection &amp; Privacy control family</w:t>
      </w:r>
    </w:p>
    <w:p>
      <w:pPr>
        <w:pStyle w:val="ListBullet"/>
      </w:pPr>
      <w:r>
        <w:t>Internal Audit Procedure</w:t>
      </w:r>
    </w:p>
    <w:p>
      <w:pPr>
        <w:pStyle w:val="ListBullet"/>
      </w:pPr>
      <w:r>
        <w:t>Nonconformity &amp; Corrective Action Procedure</w:t>
      </w:r>
    </w:p>
    <w:p>
      <w:pPr>
        <w:pStyle w:val="ListBullet"/>
      </w:pPr>
      <w:r>
        <w:t>Incident Management Policy &amp; Procedure</w:t>
      </w:r>
    </w:p>
    <w:p>
      <w:pPr>
        <w:pStyle w:val="ListBullet"/>
      </w:pPr>
      <w:r>
        <w:t>Continual Improvement Procedure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Property of Dragnet Solutions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