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INFORMATION &amp; RECORDS GOVERNANCE STANDARD</w:t>
      </w:r>
    </w:p>
    <w:p>
      <w:pPr>
        <w:jc w:val="center"/>
      </w:pPr>
      <w:r>
        <w:rPr>
          <w:b/>
          <w:color w:val="666666"/>
          <w:sz w:val="20"/>
        </w:rPr>
        <w:t>QIMS Standard</w:t>
      </w:r>
    </w:p>
    <w:tbl>
      <w:tblPr>
        <w:tblW w:type="auto" w:w="0"/>
        <w:jc w:val="center"/>
        <w:tblLayout w:type="fixed"/>
        <w:tblLook w:firstColumn="1" w:firstRow="1" w:lastColumn="0" w:lastRow="0" w:noHBand="0" w:noVBand="1" w:val="04A0"/>
      </w:tblPr>
      <w:tblGrid>
        <w:gridCol w:w="3168"/>
        <w:gridCol w:w="7200"/>
      </w:tblGrid>
      <w:tr>
        <w:tc>
          <w:tcPr>
            <w:tcW w:type="dxa" w:w="3168"/>
            <w:shd w:fill="D9EAF7"/>
            <w:vAlign w:val="center"/>
            <w:tcMar>
              <w:top w:w="90" w:type="dxa"/>
              <w:start w:w="100" w:type="dxa"/>
              <w:bottom w:w="90" w:type="dxa"/>
              <w:end w:w="100" w:type="dxa"/>
            </w:tcMar>
          </w:tcPr>
          <w:p>
            <w:pPr>
              <w:spacing w:after="0"/>
            </w:pPr>
            <w:r>
              <w:rPr>
                <w:rFonts w:ascii="Aptos" w:hAnsi="Aptos"/>
                <w:b/>
                <w:sz w:val="18"/>
              </w:rPr>
              <w:t>Document Title</w:t>
            </w:r>
          </w:p>
        </w:tc>
        <w:tc>
          <w:tcPr>
            <w:tcW w:type="dxa" w:w="7200"/>
            <w:vAlign w:val="center"/>
            <w:tcMar>
              <w:top w:w="90" w:type="dxa"/>
              <w:start w:w="100" w:type="dxa"/>
              <w:bottom w:w="90" w:type="dxa"/>
              <w:end w:w="100" w:type="dxa"/>
            </w:tcMar>
          </w:tcPr>
          <w:p>
            <w:pPr>
              <w:spacing w:after="0"/>
            </w:pPr>
            <w:r>
              <w:rPr>
                <w:rFonts w:ascii="Aptos" w:hAnsi="Aptos"/>
                <w:sz w:val="18"/>
              </w:rPr>
              <w:t>Information &amp; Records Governance Standard</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Document Code</w:t>
            </w:r>
          </w:p>
        </w:tc>
        <w:tc>
          <w:tcPr>
            <w:tcW w:type="dxa" w:w="7200"/>
            <w:vAlign w:val="center"/>
            <w:tcMar>
              <w:top w:w="90" w:type="dxa"/>
              <w:start w:w="100" w:type="dxa"/>
              <w:bottom w:w="90" w:type="dxa"/>
              <w:end w:w="100" w:type="dxa"/>
            </w:tcMar>
          </w:tcPr>
          <w:p>
            <w:pPr>
              <w:spacing w:after="0"/>
            </w:pPr>
            <w:r>
              <w:rPr>
                <w:rFonts w:ascii="Aptos" w:hAnsi="Aptos"/>
                <w:sz w:val="18"/>
              </w:rPr>
              <w:t>DRG-QI-STD-IRG-01-26</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Document Type / Layer</w:t>
            </w:r>
          </w:p>
        </w:tc>
        <w:tc>
          <w:tcPr>
            <w:tcW w:type="dxa" w:w="7200"/>
            <w:vAlign w:val="center"/>
            <w:tcMar>
              <w:top w:w="90" w:type="dxa"/>
              <w:start w:w="100" w:type="dxa"/>
              <w:bottom w:w="90" w:type="dxa"/>
              <w:end w:w="100" w:type="dxa"/>
            </w:tcMar>
          </w:tcPr>
          <w:p>
            <w:pPr>
              <w:spacing w:after="0"/>
            </w:pPr>
            <w:r>
              <w:rPr>
                <w:rFonts w:ascii="Aptos" w:hAnsi="Aptos"/>
                <w:sz w:val="18"/>
              </w:rPr>
              <w:t>Standard (Layer 3)</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Domain</w:t>
            </w:r>
          </w:p>
        </w:tc>
        <w:tc>
          <w:tcPr>
            <w:tcW w:type="dxa" w:w="7200"/>
            <w:vAlign w:val="center"/>
            <w:tcMar>
              <w:top w:w="90" w:type="dxa"/>
              <w:start w:w="100" w:type="dxa"/>
              <w:bottom w:w="90" w:type="dxa"/>
              <w:end w:w="100" w:type="dxa"/>
            </w:tcMar>
          </w:tcPr>
          <w:p>
            <w:pPr>
              <w:spacing w:after="0"/>
            </w:pPr>
            <w:r>
              <w:rPr>
                <w:rFonts w:ascii="Aptos" w:hAnsi="Aptos"/>
                <w:sz w:val="18"/>
              </w:rPr>
              <w:t>Quality &amp; Compliance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Parent Document</w:t>
            </w:r>
          </w:p>
        </w:tc>
        <w:tc>
          <w:tcPr>
            <w:tcW w:type="dxa" w:w="7200"/>
            <w:vAlign w:val="center"/>
            <w:tcMar>
              <w:top w:w="90" w:type="dxa"/>
              <w:start w:w="100" w:type="dxa"/>
              <w:bottom w:w="90" w:type="dxa"/>
              <w:end w:w="100" w:type="dxa"/>
            </w:tcMar>
          </w:tcPr>
          <w:p>
            <w:pPr>
              <w:spacing w:after="0"/>
            </w:pPr>
            <w:r>
              <w:rPr>
                <w:rFonts w:ascii="Aptos" w:hAnsi="Aptos"/>
                <w:sz w:val="18"/>
              </w:rPr>
              <w:t>Control of Documented Information Policy (Layer 2)</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Classification</w:t>
            </w:r>
          </w:p>
        </w:tc>
        <w:tc>
          <w:tcPr>
            <w:tcW w:type="dxa" w:w="7200"/>
            <w:vAlign w:val="center"/>
            <w:tcMar>
              <w:top w:w="90" w:type="dxa"/>
              <w:start w:w="100" w:type="dxa"/>
              <w:bottom w:w="90" w:type="dxa"/>
              <w:end w:w="100" w:type="dxa"/>
            </w:tcMar>
          </w:tcPr>
          <w:p>
            <w:pPr>
              <w:spacing w:after="0"/>
            </w:pPr>
            <w:r>
              <w:rPr>
                <w:rFonts w:ascii="Aptos" w:hAnsi="Aptos"/>
                <w:sz w:val="18"/>
              </w:rPr>
              <w:t>Internal use only</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Distribution</w:t>
            </w:r>
          </w:p>
        </w:tc>
        <w:tc>
          <w:tcPr>
            <w:tcW w:type="dxa" w:w="7200"/>
            <w:vAlign w:val="center"/>
            <w:tcMar>
              <w:top w:w="90" w:type="dxa"/>
              <w:start w:w="100" w:type="dxa"/>
              <w:bottom w:w="90" w:type="dxa"/>
              <w:end w:w="100" w:type="dxa"/>
            </w:tcMar>
          </w:tcPr>
          <w:p>
            <w:pPr>
              <w:spacing w:after="0"/>
            </w:pPr>
            <w:r>
              <w:rPr>
                <w:rFonts w:ascii="Aptos" w:hAnsi="Aptos"/>
                <w:sz w:val="18"/>
              </w:rPr>
              <w:t>All staff responsible for controls or governed records</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Owner</w:t>
            </w:r>
          </w:p>
        </w:tc>
        <w:tc>
          <w:tcPr>
            <w:tcW w:type="dxa" w:w="7200"/>
            <w:vAlign w:val="center"/>
            <w:tcMar>
              <w:top w:w="90" w:type="dxa"/>
              <w:start w:w="100" w:type="dxa"/>
              <w:bottom w:w="90" w:type="dxa"/>
              <w:end w:w="100" w:type="dxa"/>
            </w:tcMar>
          </w:tcPr>
          <w:p>
            <w:pPr>
              <w:spacing w:after="0"/>
            </w:pPr>
            <w:r>
              <w:rPr>
                <w:rFonts w:ascii="Aptos" w:hAnsi="Aptos"/>
                <w:sz w:val="18"/>
              </w:rPr>
              <w:t>Compliance Senior Executive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First Pass Approval</w:t>
            </w:r>
          </w:p>
        </w:tc>
        <w:tc>
          <w:tcPr>
            <w:tcW w:type="dxa" w:w="7200"/>
            <w:vAlign w:val="center"/>
            <w:tcMar>
              <w:top w:w="90" w:type="dxa"/>
              <w:start w:w="100" w:type="dxa"/>
              <w:bottom w:w="90" w:type="dxa"/>
              <w:end w:w="100" w:type="dxa"/>
            </w:tcMar>
          </w:tcPr>
          <w:p>
            <w:pPr>
              <w:spacing w:after="0"/>
            </w:pPr>
            <w:r>
              <w:rPr>
                <w:rFonts w:ascii="Aptos" w:hAnsi="Aptos"/>
                <w:sz w:val="18"/>
              </w:rPr>
              <w:t>Chief Compliance Officer</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Final Approval</w:t>
            </w:r>
          </w:p>
        </w:tc>
        <w:tc>
          <w:tcPr>
            <w:tcW w:type="dxa" w:w="7200"/>
            <w:vAlign w:val="center"/>
            <w:tcMar>
              <w:top w:w="90" w:type="dxa"/>
              <w:start w:w="100" w:type="dxa"/>
              <w:bottom w:w="90" w:type="dxa"/>
              <w:end w:w="100" w:type="dxa"/>
            </w:tcMar>
          </w:tcPr>
          <w:p>
            <w:pPr>
              <w:spacing w:after="0"/>
            </w:pPr>
            <w:r>
              <w:rPr>
                <w:rFonts w:ascii="Aptos" w:hAnsi="Aptos"/>
                <w:sz w:val="18"/>
              </w:rPr>
              <w:t>Managing Director / CEO</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Version</w:t>
            </w:r>
          </w:p>
        </w:tc>
        <w:tc>
          <w:tcPr>
            <w:tcW w:type="dxa" w:w="7200"/>
            <w:vAlign w:val="center"/>
            <w:tcMar>
              <w:top w:w="90" w:type="dxa"/>
              <w:start w:w="100" w:type="dxa"/>
              <w:bottom w:w="90" w:type="dxa"/>
              <w:end w:w="100" w:type="dxa"/>
            </w:tcMar>
          </w:tcPr>
          <w:p>
            <w:pPr>
              <w:spacing w:after="0"/>
            </w:pPr>
            <w:r>
              <w:rPr>
                <w:rFonts w:ascii="Aptos" w:hAnsi="Aptos"/>
                <w:sz w:val="18"/>
              </w:rPr>
              <w:t>Draft</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Proposed Issue</w:t>
            </w:r>
          </w:p>
        </w:tc>
        <w:tc>
          <w:tcPr>
            <w:tcW w:type="dxa" w:w="7200"/>
            <w:vAlign w:val="center"/>
            <w:tcMar>
              <w:top w:w="90" w:type="dxa"/>
              <w:start w:w="100" w:type="dxa"/>
              <w:bottom w:w="90" w:type="dxa"/>
              <w:end w:w="100" w:type="dxa"/>
            </w:tcMar>
          </w:tcPr>
          <w:p>
            <w:pPr>
              <w:spacing w:after="0"/>
            </w:pPr>
            <w:r>
              <w:rPr>
                <w:rFonts w:ascii="Aptos" w:hAnsi="Aptos"/>
                <w:sz w:val="18"/>
              </w:rPr>
              <w:t>September 2026</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Review Cadence</w:t>
            </w:r>
          </w:p>
        </w:tc>
        <w:tc>
          <w:tcPr>
            <w:tcW w:type="dxa" w:w="7200"/>
            <w:vAlign w:val="center"/>
            <w:tcMar>
              <w:top w:w="90" w:type="dxa"/>
              <w:start w:w="100" w:type="dxa"/>
              <w:bottom w:w="90" w:type="dxa"/>
              <w:end w:w="100" w:type="dxa"/>
            </w:tcMar>
          </w:tcPr>
          <w:p>
            <w:pPr>
              <w:spacing w:after="0"/>
            </w:pPr>
            <w:r>
              <w:rPr>
                <w:rFonts w:ascii="Aptos" w:hAnsi="Aptos"/>
                <w:sz w:val="18"/>
              </w:rPr>
              <w:t>Annual and on material change</w:t>
            </w:r>
          </w:p>
        </w:tc>
      </w:tr>
    </w:tbl>
    <w:p/>
    <w:p>
      <w:pPr>
        <w:pStyle w:val="Heading1"/>
      </w:pPr>
      <w:r>
        <w:t>REVISION HISTORY</w:t>
      </w:r>
    </w:p>
    <w:tbl>
      <w:tblPr>
        <w:tblW w:type="auto" w:w="0"/>
        <w:jc w:val="center"/>
        <w:tblLayout w:type="fixed"/>
        <w:tblLook w:firstColumn="1" w:firstRow="1" w:lastColumn="0" w:lastRow="0" w:noHBand="0" w:noVBand="1" w:val="04A0"/>
      </w:tblPr>
      <w:tblGrid>
        <w:gridCol w:w="1152"/>
        <w:gridCol w:w="1512"/>
        <w:gridCol w:w="6624"/>
        <w:gridCol w:w="1656"/>
      </w:tblGrid>
      <w:tr>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Version</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Date</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Purpose</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Approved By</w:t>
            </w:r>
          </w:p>
        </w:tc>
      </w:tr>
      <w:tr>
        <w:tc>
          <w:tcPr>
            <w:tcW w:type="dxa" w:w="1152"/>
            <w:tcMar>
              <w:top w:w="90" w:type="dxa"/>
              <w:start w:w="100" w:type="dxa"/>
              <w:bottom w:w="90" w:type="dxa"/>
              <w:end w:w="100" w:type="dxa"/>
            </w:tcMar>
            <w:vAlign w:val="center"/>
          </w:tcPr>
          <w:p>
            <w:pPr>
              <w:spacing w:after="0"/>
            </w:pPr>
            <w:r>
              <w:rPr>
                <w:rFonts w:ascii="Aptos" w:hAnsi="Aptos"/>
                <w:sz w:val="18"/>
              </w:rPr>
              <w:t>Draft</w:t>
            </w:r>
          </w:p>
        </w:tc>
        <w:tc>
          <w:tcPr>
            <w:tcW w:type="dxa" w:w="1512"/>
            <w:tcMar>
              <w:top w:w="90" w:type="dxa"/>
              <w:start w:w="100" w:type="dxa"/>
              <w:bottom w:w="90" w:type="dxa"/>
              <w:end w:w="100" w:type="dxa"/>
            </w:tcMar>
            <w:vAlign w:val="center"/>
          </w:tcPr>
          <w:p>
            <w:pPr>
              <w:spacing w:after="0"/>
            </w:pPr>
            <w:r>
              <w:rPr>
                <w:rFonts w:ascii="Aptos" w:hAnsi="Aptos"/>
                <w:sz w:val="18"/>
              </w:rPr>
              <w:t>Sep 2026</w:t>
            </w:r>
          </w:p>
        </w:tc>
        <w:tc>
          <w:tcPr>
            <w:tcW w:type="dxa" w:w="6624"/>
            <w:tcMar>
              <w:top w:w="90" w:type="dxa"/>
              <w:start w:w="100" w:type="dxa"/>
              <w:bottom w:w="90" w:type="dxa"/>
              <w:end w:w="100" w:type="dxa"/>
            </w:tcMar>
            <w:vAlign w:val="center"/>
          </w:tcPr>
          <w:p>
            <w:pPr>
              <w:spacing w:after="0"/>
            </w:pPr>
            <w:r>
              <w:rPr>
                <w:rFonts w:ascii="Aptos" w:hAnsi="Aptos"/>
                <w:sz w:val="18"/>
              </w:rPr>
              <w:t>Initial enterprise standard for governed Record Names, Record Types, findability, retention, disposition, specialist interfaces, controlled views and ongoing estate regularisation. Clarifies authoritative-reference and governed-extension behaviour for GRC-supported control design.</w:t>
            </w:r>
          </w:p>
        </w:tc>
        <w:tc>
          <w:tcPr>
            <w:tcW w:type="dxa" w:w="1656"/>
            <w:tcMar>
              <w:top w:w="90" w:type="dxa"/>
              <w:start w:w="100" w:type="dxa"/>
              <w:bottom w:w="90" w:type="dxa"/>
              <w:end w:w="100" w:type="dxa"/>
            </w:tcMar>
            <w:vAlign w:val="center"/>
          </w:tcPr>
          <w:p>
            <w:pPr>
              <w:spacing w:after="0"/>
            </w:pPr>
            <w:r>
              <w:rPr>
                <w:rFonts w:ascii="Aptos" w:hAnsi="Aptos"/>
                <w:sz w:val="18"/>
              </w:rPr>
              <w:t>Pending</w:t>
            </w:r>
          </w:p>
        </w:tc>
      </w:tr>
    </w:tbl>
    <w:p/>
    <w:p>
      <w:pPr>
        <w:pStyle w:val="Heading1"/>
      </w:pPr>
      <w:r>
        <w:t>1.0 PURPOSE &amp; SCOPE</w:t>
      </w:r>
    </w:p>
    <w:p>
      <w:r>
        <w:t>This Standard establishes the mandatory enterprise controls for identifying, governing, finding, retaining and disposing of Dragnet records and evidence. It applies to records created, received, used or retained for quality, information security, legal, regulatory, contractual, financial, HR, product, service and operational purposes.</w:t>
      </w:r>
    </w:p>
    <w:p>
      <w:r>
        <w:t>It provides the common records-governance frame. Specialist families remain authoritative for privacy, information security, legal/regulatory obligations, finance, platform lifecycle and other subject-specific requirements.</w:t>
      </w:r>
    </w:p>
    <w:p>
      <w:pPr>
        <w:pStyle w:val="Heading1"/>
      </w:pPr>
      <w:r>
        <w:t>2.0 PLACE IN THE CONTROL FAMILY</w:t>
      </w:r>
    </w:p>
    <w:p>
      <w:r>
        <w:t>The CDI Policy authorises this Standard. The Records Taxonomy &amp; Metadata Specification defines the implementation model beneath it. The Enterprise Records Catalogue is the controlled master of approved Record Types and governed Record Names. Retention, Findability and other operational views are derived from or reference that governed master rather than becoming competing authorities.</w:t>
      </w:r>
    </w:p>
    <w:p>
      <w:pPr>
        <w:pStyle w:val="Heading1"/>
      </w:pPr>
      <w:r>
        <w:t>3.0 GOVERNING PRINCIPLES</w:t>
      </w:r>
    </w:p>
    <w:p>
      <w:pPr>
        <w:pStyle w:val="ListBullet"/>
      </w:pPr>
      <w:r>
        <w:t>Identity before treatment: decide what the governed record actually is before assigning retention, privacy, location or lifecycle treatment.</w:t>
      </w:r>
    </w:p>
    <w:p>
      <w:pPr>
        <w:pStyle w:val="ListBullet"/>
      </w:pPr>
      <w:r>
        <w:t>One governed identity: every approved Record Name has one stable Record ID.</w:t>
      </w:r>
    </w:p>
    <w:p>
      <w:pPr>
        <w:pStyle w:val="ListBullet"/>
      </w:pPr>
      <w:r>
        <w:t>Define once, reference elsewhere: reusable metadata is maintained once and reused by controlled references/views.</w:t>
      </w:r>
    </w:p>
    <w:p>
      <w:pPr>
        <w:pStyle w:val="ListBullet"/>
      </w:pPr>
      <w:r>
        <w:t>Record governance follows the record, not the tool: a platform change does not create a new Record Type or governance rule.</w:t>
      </w:r>
    </w:p>
    <w:p>
      <w:pPr>
        <w:pStyle w:val="ListBullet"/>
      </w:pPr>
      <w:r>
        <w:t>Specialist authority is preserved: the records model links to specialist authorities rather than duplicating them.</w:t>
      </w:r>
    </w:p>
    <w:p>
      <w:pPr>
        <w:pStyle w:val="ListBullet"/>
      </w:pPr>
      <w:r>
        <w:t>One record of truth: an item tracked in several views still has one authoritative source record.</w:t>
      </w:r>
    </w:p>
    <w:p>
      <w:pPr>
        <w:pStyle w:val="ListBullet"/>
      </w:pPr>
      <w:r>
        <w:t>Governance at the right level: Record Type carries semantics; Record Name/process context carries operational governance.</w:t>
      </w:r>
    </w:p>
    <w:p>
      <w:pPr>
        <w:pStyle w:val="Heading1"/>
      </w:pPr>
      <w:r>
        <w:t>4.0 THE GOVERNED RECORD MODEL</w:t>
      </w:r>
    </w:p>
    <w:p>
      <w:pPr>
        <w:pStyle w:val="Heading2"/>
      </w:pPr>
      <w:r>
        <w:t>4.1 Record Type - semantics only</w:t>
      </w:r>
    </w:p>
    <w:p>
      <w:r>
        <w:t>Record Type answers one question: what kind of organisational evidence is this? It is a reusable, controlled taxonomy term with a standard definition and boundary.</w:t>
      </w:r>
    </w:p>
    <w:p>
      <w:r>
        <w:t>Record Type MUST NOT determine or imply a universal Custodian, Authoritative Location, Retrieval Instruction, Retention Rule, Retention Trigger, Retention Authority, Disposition, Destruction Method or Destruction Evidence requirement.</w:t>
      </w:r>
    </w:p>
    <w:p>
      <w:pPr>
        <w:pStyle w:val="Heading2"/>
      </w:pPr>
      <w:r>
        <w:t>4.2 Record Name - governed evidence identity</w:t>
      </w:r>
    </w:p>
    <w:p>
      <w:r>
        <w:t>Record Name is the canonical name of the specific evidence object that a process or control requires, creates or uses. The Record Name is registered once against a stable Record ID.</w:t>
      </w:r>
    </w:p>
    <w:p>
      <w:r>
        <w:t>Operational governance attributes are assigned to the governed Record Name in the applicable process/control context. Where the same Record Name legitimately appears in more than one context, context-specific values are explicit rather than inherited from Record Type.</w:t>
      </w:r>
    </w:p>
    <w:p>
      <w:pPr>
        <w:pStyle w:val="Heading2"/>
      </w:pPr>
      <w:r>
        <w:t>4.3 Optional Record Class</w:t>
      </w:r>
    </w:p>
    <w:p>
      <w:r>
        <w:t>Record Class is optional and may be used only where a higher-level grouping adds genuine governance or reporting value. It is not an information-sensitivity classification and shall not become a parallel taxonomy.</w:t>
      </w:r>
    </w:p>
    <w:p>
      <w:pPr>
        <w:pStyle w:val="Heading1"/>
      </w:pPr>
      <w:r>
        <w:t>5.0 MANDATORY GOVERNANCE FOR EACH RECORD NAME</w:t>
      </w:r>
    </w:p>
    <w:tbl>
      <w:tblPr>
        <w:tblW w:type="auto" w:w="0"/>
        <w:jc w:val="center"/>
        <w:tblLayout w:type="fixed"/>
        <w:tblLook w:firstColumn="1" w:firstRow="1" w:lastColumn="0" w:lastRow="0" w:noHBand="0" w:noVBand="1" w:val="04A0"/>
      </w:tblPr>
      <w:tblGrid>
        <w:gridCol w:w="2448"/>
        <w:gridCol w:w="7920"/>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Facet</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Requirement</w:t>
            </w:r>
          </w:p>
        </w:tc>
      </w:tr>
      <w:tr>
        <w:tc>
          <w:tcPr>
            <w:tcW w:type="dxa" w:w="2448"/>
            <w:vAlign w:val="center"/>
            <w:tcMar>
              <w:top w:w="90" w:type="dxa"/>
              <w:start w:w="100" w:type="dxa"/>
              <w:bottom w:w="90" w:type="dxa"/>
              <w:end w:w="100" w:type="dxa"/>
            </w:tcMar>
          </w:tcPr>
          <w:p>
            <w:pPr>
              <w:spacing w:after="0"/>
            </w:pPr>
            <w:r>
              <w:rPr>
                <w:rFonts w:ascii="Aptos" w:hAnsi="Aptos"/>
                <w:sz w:val="18"/>
              </w:rPr>
              <w:t>Identity</w:t>
            </w:r>
          </w:p>
        </w:tc>
        <w:tc>
          <w:tcPr>
            <w:tcW w:type="dxa" w:w="7920"/>
            <w:vAlign w:val="center"/>
            <w:tcMar>
              <w:top w:w="90" w:type="dxa"/>
              <w:start w:w="100" w:type="dxa"/>
              <w:bottom w:w="90" w:type="dxa"/>
              <w:end w:w="100" w:type="dxa"/>
            </w:tcMar>
          </w:tcPr>
          <w:p>
            <w:pPr>
              <w:spacing w:after="0"/>
            </w:pPr>
            <w:r>
              <w:rPr>
                <w:rFonts w:ascii="Aptos" w:hAnsi="Aptos"/>
                <w:sz w:val="18"/>
              </w:rPr>
              <w:t>Stable Record ID, canonical Record Name and approved Record Type.</w:t>
            </w:r>
          </w:p>
        </w:tc>
      </w:tr>
      <w:tr>
        <w:tc>
          <w:tcPr>
            <w:tcW w:type="dxa" w:w="2448"/>
            <w:vAlign w:val="center"/>
            <w:tcMar>
              <w:top w:w="90" w:type="dxa"/>
              <w:start w:w="100" w:type="dxa"/>
              <w:bottom w:w="90" w:type="dxa"/>
              <w:end w:w="100" w:type="dxa"/>
            </w:tcMar>
          </w:tcPr>
          <w:p>
            <w:pPr>
              <w:spacing w:after="0"/>
            </w:pPr>
            <w:r>
              <w:rPr>
                <w:rFonts w:ascii="Aptos" w:hAnsi="Aptos"/>
                <w:sz w:val="18"/>
              </w:rPr>
              <w:t>Source context</w:t>
            </w:r>
          </w:p>
        </w:tc>
        <w:tc>
          <w:tcPr>
            <w:tcW w:type="dxa" w:w="7920"/>
            <w:vAlign w:val="center"/>
            <w:tcMar>
              <w:top w:w="90" w:type="dxa"/>
              <w:start w:w="100" w:type="dxa"/>
              <w:bottom w:w="90" w:type="dxa"/>
              <w:end w:w="100" w:type="dxa"/>
            </w:tcMar>
          </w:tcPr>
          <w:p>
            <w:pPr>
              <w:spacing w:after="0"/>
            </w:pPr>
            <w:r>
              <w:rPr>
                <w:rFonts w:ascii="Aptos" w:hAnsi="Aptos"/>
                <w:sz w:val="18"/>
              </w:rPr>
              <w:t>The control/process that requires, creates or uses the record is identifiable.</w:t>
            </w:r>
          </w:p>
        </w:tc>
      </w:tr>
      <w:tr>
        <w:tc>
          <w:tcPr>
            <w:tcW w:type="dxa" w:w="2448"/>
            <w:vAlign w:val="center"/>
            <w:tcMar>
              <w:top w:w="90" w:type="dxa"/>
              <w:start w:w="100" w:type="dxa"/>
              <w:bottom w:w="90" w:type="dxa"/>
              <w:end w:w="100" w:type="dxa"/>
            </w:tcMar>
          </w:tcPr>
          <w:p>
            <w:pPr>
              <w:spacing w:after="0"/>
            </w:pPr>
            <w:r>
              <w:rPr>
                <w:rFonts w:ascii="Aptos" w:hAnsi="Aptos"/>
                <w:sz w:val="18"/>
              </w:rPr>
              <w:t>Custody</w:t>
            </w:r>
          </w:p>
        </w:tc>
        <w:tc>
          <w:tcPr>
            <w:tcW w:type="dxa" w:w="7920"/>
            <w:vAlign w:val="center"/>
            <w:tcMar>
              <w:top w:w="90" w:type="dxa"/>
              <w:start w:w="100" w:type="dxa"/>
              <w:bottom w:w="90" w:type="dxa"/>
              <w:end w:w="100" w:type="dxa"/>
            </w:tcMar>
          </w:tcPr>
          <w:p>
            <w:pPr>
              <w:spacing w:after="0"/>
            </w:pPr>
            <w:r>
              <w:rPr>
                <w:rFonts w:ascii="Aptos" w:hAnsi="Aptos"/>
                <w:sz w:val="18"/>
              </w:rPr>
              <w:t>Custodian role is defined where custody exists, at the applicable process/control context.</w:t>
            </w:r>
          </w:p>
        </w:tc>
      </w:tr>
      <w:tr>
        <w:tc>
          <w:tcPr>
            <w:tcW w:type="dxa" w:w="2448"/>
            <w:vAlign w:val="center"/>
            <w:tcMar>
              <w:top w:w="90" w:type="dxa"/>
              <w:start w:w="100" w:type="dxa"/>
              <w:bottom w:w="90" w:type="dxa"/>
              <w:end w:w="100" w:type="dxa"/>
            </w:tcMar>
          </w:tcPr>
          <w:p>
            <w:pPr>
              <w:spacing w:after="0"/>
            </w:pPr>
            <w:r>
              <w:rPr>
                <w:rFonts w:ascii="Aptos" w:hAnsi="Aptos"/>
                <w:sz w:val="18"/>
              </w:rPr>
              <w:t>Findability</w:t>
            </w:r>
          </w:p>
        </w:tc>
        <w:tc>
          <w:tcPr>
            <w:tcW w:type="dxa" w:w="7920"/>
            <w:vAlign w:val="center"/>
            <w:tcMar>
              <w:top w:w="90" w:type="dxa"/>
              <w:start w:w="100" w:type="dxa"/>
              <w:bottom w:w="90" w:type="dxa"/>
              <w:end w:w="100" w:type="dxa"/>
            </w:tcMar>
          </w:tcPr>
          <w:p>
            <w:pPr>
              <w:spacing w:after="0"/>
            </w:pPr>
            <w:r>
              <w:rPr>
                <w:rFonts w:ascii="Aptos" w:hAnsi="Aptos"/>
                <w:sz w:val="18"/>
              </w:rPr>
              <w:t>Authoritative location/source system and retrieval instruction are identifiable.</w:t>
            </w:r>
          </w:p>
        </w:tc>
      </w:tr>
      <w:tr>
        <w:tc>
          <w:tcPr>
            <w:tcW w:type="dxa" w:w="2448"/>
            <w:vAlign w:val="center"/>
            <w:tcMar>
              <w:top w:w="90" w:type="dxa"/>
              <w:start w:w="100" w:type="dxa"/>
              <w:bottom w:w="90" w:type="dxa"/>
              <w:end w:w="100" w:type="dxa"/>
            </w:tcMar>
          </w:tcPr>
          <w:p>
            <w:pPr>
              <w:spacing w:after="0"/>
            </w:pPr>
            <w:r>
              <w:rPr>
                <w:rFonts w:ascii="Aptos" w:hAnsi="Aptos"/>
                <w:sz w:val="18"/>
              </w:rPr>
              <w:t>Classification</w:t>
            </w:r>
          </w:p>
        </w:tc>
        <w:tc>
          <w:tcPr>
            <w:tcW w:type="dxa" w:w="7920"/>
            <w:vAlign w:val="center"/>
            <w:tcMar>
              <w:top w:w="90" w:type="dxa"/>
              <w:start w:w="100" w:type="dxa"/>
              <w:bottom w:w="90" w:type="dxa"/>
              <w:end w:w="100" w:type="dxa"/>
            </w:tcMar>
          </w:tcPr>
          <w:p>
            <w:pPr>
              <w:spacing w:after="0"/>
            </w:pPr>
            <w:r>
              <w:rPr>
                <w:rFonts w:ascii="Aptos" w:hAnsi="Aptos"/>
                <w:sz w:val="18"/>
              </w:rPr>
              <w:t>Approved information classification is referenced.</w:t>
            </w:r>
          </w:p>
        </w:tc>
      </w:tr>
      <w:tr>
        <w:tc>
          <w:tcPr>
            <w:tcW w:type="dxa" w:w="2448"/>
            <w:vAlign w:val="center"/>
            <w:tcMar>
              <w:top w:w="90" w:type="dxa"/>
              <w:start w:w="100" w:type="dxa"/>
              <w:bottom w:w="90" w:type="dxa"/>
              <w:end w:w="100" w:type="dxa"/>
            </w:tcMar>
          </w:tcPr>
          <w:p>
            <w:pPr>
              <w:spacing w:after="0"/>
            </w:pPr>
            <w:r>
              <w:rPr>
                <w:rFonts w:ascii="Aptos" w:hAnsi="Aptos"/>
                <w:sz w:val="18"/>
              </w:rPr>
              <w:t>Privacy</w:t>
            </w:r>
          </w:p>
        </w:tc>
        <w:tc>
          <w:tcPr>
            <w:tcW w:type="dxa" w:w="7920"/>
            <w:vAlign w:val="center"/>
            <w:tcMar>
              <w:top w:w="90" w:type="dxa"/>
              <w:start w:w="100" w:type="dxa"/>
              <w:bottom w:w="90" w:type="dxa"/>
              <w:end w:w="100" w:type="dxa"/>
            </w:tcMar>
          </w:tcPr>
          <w:p>
            <w:pPr>
              <w:spacing w:after="0"/>
            </w:pPr>
            <w:r>
              <w:rPr>
                <w:rFonts w:ascii="Aptos" w:hAnsi="Aptos"/>
                <w:sz w:val="18"/>
              </w:rPr>
              <w:t>Personal Data status is identified; detailed privacy attributes remain in the Data Protection family.</w:t>
            </w:r>
          </w:p>
        </w:tc>
      </w:tr>
      <w:tr>
        <w:tc>
          <w:tcPr>
            <w:tcW w:type="dxa" w:w="2448"/>
            <w:vAlign w:val="center"/>
            <w:tcMar>
              <w:top w:w="90" w:type="dxa"/>
              <w:start w:w="100" w:type="dxa"/>
              <w:bottom w:w="90" w:type="dxa"/>
              <w:end w:w="100" w:type="dxa"/>
            </w:tcMar>
          </w:tcPr>
          <w:p>
            <w:pPr>
              <w:spacing w:after="0"/>
            </w:pPr>
            <w:r>
              <w:rPr>
                <w:rFonts w:ascii="Aptos" w:hAnsi="Aptos"/>
                <w:sz w:val="18"/>
              </w:rPr>
              <w:t>Retention</w:t>
            </w:r>
          </w:p>
        </w:tc>
        <w:tc>
          <w:tcPr>
            <w:tcW w:type="dxa" w:w="7920"/>
            <w:vAlign w:val="center"/>
            <w:tcMar>
              <w:top w:w="90" w:type="dxa"/>
              <w:start w:w="100" w:type="dxa"/>
              <w:bottom w:w="90" w:type="dxa"/>
              <w:end w:w="100" w:type="dxa"/>
            </w:tcMar>
          </w:tcPr>
          <w:p>
            <w:pPr>
              <w:spacing w:after="0"/>
            </w:pPr>
            <w:r>
              <w:rPr>
                <w:rFonts w:ascii="Aptos" w:hAnsi="Aptos"/>
                <w:sz w:val="18"/>
              </w:rPr>
              <w:t>Retention rule/period, trigger and authority are identifiable and approved.</w:t>
            </w:r>
          </w:p>
        </w:tc>
      </w:tr>
      <w:tr>
        <w:tc>
          <w:tcPr>
            <w:tcW w:type="dxa" w:w="2448"/>
            <w:vAlign w:val="center"/>
            <w:tcMar>
              <w:top w:w="90" w:type="dxa"/>
              <w:start w:w="100" w:type="dxa"/>
              <w:bottom w:w="90" w:type="dxa"/>
              <w:end w:w="100" w:type="dxa"/>
            </w:tcMar>
          </w:tcPr>
          <w:p>
            <w:pPr>
              <w:spacing w:after="0"/>
            </w:pPr>
            <w:r>
              <w:rPr>
                <w:rFonts w:ascii="Aptos" w:hAnsi="Aptos"/>
                <w:sz w:val="18"/>
              </w:rPr>
              <w:t>Disposition</w:t>
            </w:r>
          </w:p>
        </w:tc>
        <w:tc>
          <w:tcPr>
            <w:tcW w:type="dxa" w:w="7920"/>
            <w:vAlign w:val="center"/>
            <w:tcMar>
              <w:top w:w="90" w:type="dxa"/>
              <w:start w:w="100" w:type="dxa"/>
              <w:bottom w:w="90" w:type="dxa"/>
              <w:end w:w="100" w:type="dxa"/>
            </w:tcMar>
          </w:tcPr>
          <w:p>
            <w:pPr>
              <w:spacing w:after="0"/>
            </w:pPr>
            <w:r>
              <w:rPr>
                <w:rFonts w:ascii="Aptos" w:hAnsi="Aptos"/>
                <w:sz w:val="18"/>
              </w:rPr>
              <w:t>End-of-life treatment is defined, including destruction/anonymisation/archive/transfer/review as applicable.</w:t>
            </w:r>
          </w:p>
        </w:tc>
      </w:tr>
      <w:tr>
        <w:tc>
          <w:tcPr>
            <w:tcW w:type="dxa" w:w="2448"/>
            <w:vAlign w:val="center"/>
            <w:tcMar>
              <w:top w:w="90" w:type="dxa"/>
              <w:start w:w="100" w:type="dxa"/>
              <w:bottom w:w="90" w:type="dxa"/>
              <w:end w:w="100" w:type="dxa"/>
            </w:tcMar>
          </w:tcPr>
          <w:p>
            <w:pPr>
              <w:spacing w:after="0"/>
            </w:pPr>
            <w:r>
              <w:rPr>
                <w:rFonts w:ascii="Aptos" w:hAnsi="Aptos"/>
                <w:sz w:val="18"/>
              </w:rPr>
              <w:t>Destruction manner</w:t>
            </w:r>
          </w:p>
        </w:tc>
        <w:tc>
          <w:tcPr>
            <w:tcW w:type="dxa" w:w="7920"/>
            <w:vAlign w:val="center"/>
            <w:tcMar>
              <w:top w:w="90" w:type="dxa"/>
              <w:start w:w="100" w:type="dxa"/>
              <w:bottom w:w="90" w:type="dxa"/>
              <w:end w:w="100" w:type="dxa"/>
            </w:tcMar>
          </w:tcPr>
          <w:p>
            <w:pPr>
              <w:spacing w:after="0"/>
            </w:pPr>
            <w:r>
              <w:rPr>
                <w:rFonts w:ascii="Aptos" w:hAnsi="Aptos"/>
                <w:sz w:val="18"/>
              </w:rPr>
              <w:t>The approved method is proportionate to the record and medium; destruction evidence is required only where the governing rule demands it.</w:t>
            </w:r>
          </w:p>
        </w:tc>
      </w:tr>
      <w:tr>
        <w:tc>
          <w:tcPr>
            <w:tcW w:type="dxa" w:w="2448"/>
            <w:vAlign w:val="center"/>
            <w:tcMar>
              <w:top w:w="90" w:type="dxa"/>
              <w:start w:w="100" w:type="dxa"/>
              <w:bottom w:w="90" w:type="dxa"/>
              <w:end w:w="100" w:type="dxa"/>
            </w:tcMar>
          </w:tcPr>
          <w:p>
            <w:pPr>
              <w:spacing w:after="0"/>
            </w:pPr>
            <w:r>
              <w:rPr>
                <w:rFonts w:ascii="Aptos" w:hAnsi="Aptos"/>
                <w:sz w:val="18"/>
              </w:rPr>
              <w:t>Holds/overrides</w:t>
            </w:r>
          </w:p>
        </w:tc>
        <w:tc>
          <w:tcPr>
            <w:tcW w:type="dxa" w:w="7920"/>
            <w:vAlign w:val="center"/>
            <w:tcMar>
              <w:top w:w="90" w:type="dxa"/>
              <w:start w:w="100" w:type="dxa"/>
              <w:bottom w:w="90" w:type="dxa"/>
              <w:end w:w="100" w:type="dxa"/>
            </w:tcMar>
          </w:tcPr>
          <w:p>
            <w:pPr>
              <w:spacing w:after="0"/>
            </w:pPr>
            <w:r>
              <w:rPr>
                <w:rFonts w:ascii="Aptos" w:hAnsi="Aptos"/>
                <w:sz w:val="18"/>
              </w:rPr>
              <w:t>Legal hold, investigation, contractual or regulatory preservation requirements suspend normal disposition where applicable.</w:t>
            </w:r>
          </w:p>
        </w:tc>
      </w:tr>
      <w:tr>
        <w:tc>
          <w:tcPr>
            <w:tcW w:type="dxa" w:w="2448"/>
            <w:vAlign w:val="center"/>
            <w:tcMar>
              <w:top w:w="90" w:type="dxa"/>
              <w:start w:w="100" w:type="dxa"/>
              <w:bottom w:w="90" w:type="dxa"/>
              <w:end w:w="100" w:type="dxa"/>
            </w:tcMar>
          </w:tcPr>
          <w:p>
            <w:pPr>
              <w:spacing w:after="0"/>
            </w:pPr>
            <w:r>
              <w:rPr>
                <w:rFonts w:ascii="Aptos" w:hAnsi="Aptos"/>
                <w:sz w:val="18"/>
              </w:rPr>
              <w:t>Lifecycle</w:t>
            </w:r>
          </w:p>
        </w:tc>
        <w:tc>
          <w:tcPr>
            <w:tcW w:type="dxa" w:w="7920"/>
            <w:vAlign w:val="center"/>
            <w:tcMar>
              <w:top w:w="90" w:type="dxa"/>
              <w:start w:w="100" w:type="dxa"/>
              <w:bottom w:w="90" w:type="dxa"/>
              <w:end w:w="100" w:type="dxa"/>
            </w:tcMar>
          </w:tcPr>
          <w:p>
            <w:pPr>
              <w:spacing w:after="0"/>
            </w:pPr>
            <w:r>
              <w:rPr>
                <w:rFonts w:ascii="Aptos" w:hAnsi="Aptos"/>
                <w:sz w:val="18"/>
              </w:rPr>
              <w:t>Where technical implementation is needed, the record references the applicable platform/lifecycle control.</w:t>
            </w:r>
          </w:p>
        </w:tc>
      </w:tr>
      <w:tr>
        <w:tc>
          <w:tcPr>
            <w:tcW w:type="dxa" w:w="2448"/>
            <w:vAlign w:val="center"/>
            <w:tcMar>
              <w:top w:w="90" w:type="dxa"/>
              <w:start w:w="100" w:type="dxa"/>
              <w:bottom w:w="90" w:type="dxa"/>
              <w:end w:w="100" w:type="dxa"/>
            </w:tcMar>
          </w:tcPr>
          <w:p>
            <w:pPr>
              <w:spacing w:after="0"/>
            </w:pPr>
            <w:r>
              <w:rPr>
                <w:rFonts w:ascii="Aptos" w:hAnsi="Aptos"/>
                <w:sz w:val="18"/>
              </w:rPr>
              <w:t>Status/review</w:t>
            </w:r>
          </w:p>
        </w:tc>
        <w:tc>
          <w:tcPr>
            <w:tcW w:type="dxa" w:w="7920"/>
            <w:vAlign w:val="center"/>
            <w:tcMar>
              <w:top w:w="90" w:type="dxa"/>
              <w:start w:w="100" w:type="dxa"/>
              <w:bottom w:w="90" w:type="dxa"/>
              <w:end w:w="100" w:type="dxa"/>
            </w:tcMar>
          </w:tcPr>
          <w:p>
            <w:pPr>
              <w:spacing w:after="0"/>
            </w:pPr>
            <w:r>
              <w:rPr>
                <w:rFonts w:ascii="Aptos" w:hAnsi="Aptos"/>
                <w:sz w:val="18"/>
              </w:rPr>
              <w:t>The record metadata has approval/status and review controls.</w:t>
            </w:r>
          </w:p>
        </w:tc>
      </w:tr>
    </w:tbl>
    <w:p/>
    <w:p>
      <w:pPr>
        <w:pStyle w:val="Heading1"/>
      </w:pPr>
      <w:r>
        <w:t>6.0 RECORD TYPE TAXONOMY</w:t>
      </w:r>
    </w:p>
    <w:p>
      <w:r>
        <w:t>The approved Record Type Taxonomy is exhaustive for current authorised use, but not permanently closed. New or revised controls must draft by reference to the existing taxonomy.</w:t>
      </w:r>
    </w:p>
    <w:p>
      <w:pPr>
        <w:pStyle w:val="ListBullet"/>
      </w:pPr>
      <w:r>
        <w:t>A new Record Name does not justify a new Record Type.</w:t>
      </w:r>
    </w:p>
    <w:p>
      <w:pPr>
        <w:pStyle w:val="ListBullet"/>
      </w:pPr>
      <w:r>
        <w:t>A new Record Type is approved only where no existing Type can describe the evidential purpose without materially distorting its meaning.</w:t>
      </w:r>
    </w:p>
    <w:p>
      <w:pPr>
        <w:pStyle w:val="ListBullet"/>
      </w:pPr>
      <w:r>
        <w:t>Pseudo-types based on format, channel, privacy status, system, location or undifferentiated data containers are prohibited.</w:t>
      </w:r>
    </w:p>
    <w:p>
      <w:pPr>
        <w:pStyle w:val="ListBullet"/>
      </w:pPr>
      <w:r>
        <w:t>Taxonomy extension follows the controlled process in the Records Taxonomy &amp; Metadata Specification.</w:t>
      </w:r>
    </w:p>
    <w:p>
      <w:pPr>
        <w:pStyle w:val="Heading1"/>
      </w:pPr>
      <w:r>
        <w:t>7.0 FINDABILITY</w:t>
      </w:r>
    </w:p>
    <w:p>
      <w:r>
        <w:t>Every governed Record Name has an identifiable authoritative home or source system and a practical retrieval instruction. Findability is a governance control in its own right; it is not inferred from Record Type.</w:t>
      </w:r>
    </w:p>
    <w:p>
      <w:pPr>
        <w:pStyle w:val="ListBullet"/>
      </w:pPr>
      <w:r>
        <w:t>The authoritative location identifies where the official record can be obtained, not every place a copy may exist.</w:t>
      </w:r>
    </w:p>
    <w:p>
      <w:pPr>
        <w:pStyle w:val="ListBullet"/>
      </w:pPr>
      <w:r>
        <w:t>Dashboards, reports and secondary registers link to or reference the authoritative source rather than becoming competing masters.</w:t>
      </w:r>
    </w:p>
    <w:p>
      <w:pPr>
        <w:pStyle w:val="ListBullet"/>
      </w:pPr>
      <w:r>
        <w:t>Where the source is a system, the metadata may identify the system and retrieval path rather than require a duplicated exported file.</w:t>
      </w:r>
    </w:p>
    <w:p>
      <w:pPr>
        <w:pStyle w:val="ListBullet"/>
      </w:pPr>
      <w:r>
        <w:t>Where the record is physical, the controlled physical repository and retrieval responsibility are stated.</w:t>
      </w:r>
    </w:p>
    <w:p>
      <w:pPr>
        <w:pStyle w:val="ListBullet"/>
      </w:pPr>
      <w:r>
        <w:t>Custodian is process/context-specific and may differ for Record Names sharing the same Type.</w:t>
      </w:r>
    </w:p>
    <w:p>
      <w:pPr>
        <w:pStyle w:val="Heading1"/>
      </w:pPr>
      <w:r>
        <w:t>8.0 RETENTION &amp; DISPOSITION</w:t>
      </w:r>
    </w:p>
    <w:p>
      <w:r>
        <w:t>Retention and disposition are attributes of the governed Record Name in its applicable context, not attributes of Record Type.</w:t>
      </w:r>
    </w:p>
    <w:p>
      <w:pPr>
        <w:pStyle w:val="ListBullet"/>
      </w:pPr>
      <w:r>
        <w:t>Retention shall state the approved period or rule and the trigger from which the period runs.</w:t>
      </w:r>
    </w:p>
    <w:p>
      <w:pPr>
        <w:pStyle w:val="ListBullet"/>
      </w:pPr>
      <w:r>
        <w:t>Retention Authority shall identify the actual legal, regulatory, contractual, policy or approved business source supporting the rule.</w:t>
      </w:r>
    </w:p>
    <w:p>
      <w:pPr>
        <w:pStyle w:val="ListBullet"/>
      </w:pPr>
      <w:r>
        <w:t>A privacy lawful basis is not automatically a retention authority.</w:t>
      </w:r>
    </w:p>
    <w:p>
      <w:pPr>
        <w:pStyle w:val="ListBullet"/>
      </w:pPr>
      <w:r>
        <w:t>A minimum period expressed as at least X is not an automatic destruction point.</w:t>
      </w:r>
    </w:p>
    <w:p>
      <w:pPr>
        <w:pStyle w:val="ListBullet"/>
      </w:pPr>
      <w:r>
        <w:t>Conflicting retention requirements are reconciled by subject matter and authority; no blanket longest-period rule applies.</w:t>
      </w:r>
    </w:p>
    <w:p>
      <w:pPr>
        <w:pStyle w:val="ListBullet"/>
      </w:pPr>
      <w:r>
        <w:t>Disposition states the approved end-of-life treatment, for example secure destruction, deletion, anonymisation, archive, transfer or review.</w:t>
      </w:r>
    </w:p>
    <w:p>
      <w:pPr>
        <w:pStyle w:val="ListBullet"/>
      </w:pPr>
      <w:r>
        <w:t>Destruction method is proportionate to the medium, sensitivity and governing requirement. A per-file destruction certificate is not assumed by default.</w:t>
      </w:r>
    </w:p>
    <w:p>
      <w:pPr>
        <w:pStyle w:val="ListBullet"/>
      </w:pPr>
      <w:r>
        <w:t>Deletion from a working system is not automatically complete destruction; authoritative source, holds, archives and backup treatment are considered.</w:t>
      </w:r>
    </w:p>
    <w:p>
      <w:pPr>
        <w:pStyle w:val="Heading1"/>
      </w:pPr>
      <w:r>
        <w:t>9.0 SPECIALIST GOVERNANCE INTERFACES</w:t>
      </w:r>
    </w:p>
    <w:tbl>
      <w:tblPr>
        <w:tblW w:type="auto" w:w="0"/>
        <w:jc w:val="center"/>
        <w:tblLayout w:type="fixed"/>
        <w:tblLook w:firstColumn="1" w:firstRow="1" w:lastColumn="0" w:lastRow="0" w:noHBand="0" w:noVBand="1" w:val="04A0"/>
      </w:tblPr>
      <w:tblGrid>
        <w:gridCol w:w="3168"/>
        <w:gridCol w:w="7200"/>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Specialist family</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Relationship to this Standard</w:t>
            </w:r>
          </w:p>
        </w:tc>
      </w:tr>
      <w:tr>
        <w:tc>
          <w:tcPr>
            <w:tcW w:type="dxa" w:w="3168"/>
            <w:vAlign w:val="center"/>
            <w:tcMar>
              <w:top w:w="90" w:type="dxa"/>
              <w:start w:w="100" w:type="dxa"/>
              <w:bottom w:w="90" w:type="dxa"/>
              <w:end w:w="100" w:type="dxa"/>
            </w:tcMar>
          </w:tcPr>
          <w:p>
            <w:pPr>
              <w:spacing w:after="0"/>
            </w:pPr>
            <w:r>
              <w:rPr>
                <w:rFonts w:ascii="Aptos" w:hAnsi="Aptos"/>
                <w:sz w:val="18"/>
              </w:rPr>
              <w:t>Information Classification</w:t>
            </w:r>
          </w:p>
        </w:tc>
        <w:tc>
          <w:tcPr>
            <w:tcW w:type="dxa" w:w="7200"/>
            <w:vAlign w:val="center"/>
            <w:tcMar>
              <w:top w:w="90" w:type="dxa"/>
              <w:start w:w="100" w:type="dxa"/>
              <w:bottom w:w="90" w:type="dxa"/>
              <w:end w:w="100" w:type="dxa"/>
            </w:tcMar>
          </w:tcPr>
          <w:p>
            <w:pPr>
              <w:spacing w:after="0"/>
            </w:pPr>
            <w:r>
              <w:rPr>
                <w:rFonts w:ascii="Aptos" w:hAnsi="Aptos"/>
                <w:sz w:val="18"/>
              </w:rPr>
              <w:t>Supplies sensitivity classification and handling rules.</w:t>
            </w:r>
          </w:p>
        </w:tc>
      </w:tr>
      <w:tr>
        <w:tc>
          <w:tcPr>
            <w:tcW w:type="dxa" w:w="3168"/>
            <w:vAlign w:val="center"/>
            <w:tcMar>
              <w:top w:w="90" w:type="dxa"/>
              <w:start w:w="100" w:type="dxa"/>
              <w:bottom w:w="90" w:type="dxa"/>
              <w:end w:w="100" w:type="dxa"/>
            </w:tcMar>
          </w:tcPr>
          <w:p>
            <w:pPr>
              <w:spacing w:after="0"/>
            </w:pPr>
            <w:r>
              <w:rPr>
                <w:rFonts w:ascii="Aptos" w:hAnsi="Aptos"/>
                <w:sz w:val="18"/>
              </w:rPr>
              <w:t>Data Protection &amp; Privacy</w:t>
            </w:r>
          </w:p>
        </w:tc>
        <w:tc>
          <w:tcPr>
            <w:tcW w:type="dxa" w:w="7200"/>
            <w:vAlign w:val="center"/>
            <w:tcMar>
              <w:top w:w="90" w:type="dxa"/>
              <w:start w:w="100" w:type="dxa"/>
              <w:bottom w:w="90" w:type="dxa"/>
              <w:end w:w="100" w:type="dxa"/>
            </w:tcMar>
          </w:tcPr>
          <w:p>
            <w:pPr>
              <w:spacing w:after="0"/>
            </w:pPr>
            <w:r>
              <w:rPr>
                <w:rFonts w:ascii="Aptos" w:hAnsi="Aptos"/>
                <w:sz w:val="18"/>
              </w:rPr>
              <w:t>Supplies privacy obligations, ROPA/DPIA/DSRR and processing constraints.</w:t>
            </w:r>
          </w:p>
        </w:tc>
      </w:tr>
      <w:tr>
        <w:tc>
          <w:tcPr>
            <w:tcW w:type="dxa" w:w="3168"/>
            <w:vAlign w:val="center"/>
            <w:tcMar>
              <w:top w:w="90" w:type="dxa"/>
              <w:start w:w="100" w:type="dxa"/>
              <w:bottom w:w="90" w:type="dxa"/>
              <w:end w:w="100" w:type="dxa"/>
            </w:tcMar>
          </w:tcPr>
          <w:p>
            <w:pPr>
              <w:spacing w:after="0"/>
            </w:pPr>
            <w:r>
              <w:rPr>
                <w:rFonts w:ascii="Aptos" w:hAnsi="Aptos"/>
                <w:sz w:val="18"/>
              </w:rPr>
              <w:t>Legal / Regulatory</w:t>
            </w:r>
          </w:p>
        </w:tc>
        <w:tc>
          <w:tcPr>
            <w:tcW w:type="dxa" w:w="7200"/>
            <w:vAlign w:val="center"/>
            <w:tcMar>
              <w:top w:w="90" w:type="dxa"/>
              <w:start w:w="100" w:type="dxa"/>
              <w:bottom w:w="90" w:type="dxa"/>
              <w:end w:w="100" w:type="dxa"/>
            </w:tcMar>
          </w:tcPr>
          <w:p>
            <w:pPr>
              <w:spacing w:after="0"/>
            </w:pPr>
            <w:r>
              <w:rPr>
                <w:rFonts w:ascii="Aptos" w:hAnsi="Aptos"/>
                <w:sz w:val="18"/>
              </w:rPr>
              <w:t>Supplies statutory, regulatory and contractual authority.</w:t>
            </w:r>
          </w:p>
        </w:tc>
      </w:tr>
      <w:tr>
        <w:tc>
          <w:tcPr>
            <w:tcW w:type="dxa" w:w="3168"/>
            <w:vAlign w:val="center"/>
            <w:tcMar>
              <w:top w:w="90" w:type="dxa"/>
              <w:start w:w="100" w:type="dxa"/>
              <w:bottom w:w="90" w:type="dxa"/>
              <w:end w:w="100" w:type="dxa"/>
            </w:tcMar>
          </w:tcPr>
          <w:p>
            <w:pPr>
              <w:spacing w:after="0"/>
            </w:pPr>
            <w:r>
              <w:rPr>
                <w:rFonts w:ascii="Aptos" w:hAnsi="Aptos"/>
                <w:sz w:val="18"/>
              </w:rPr>
              <w:t>Information Security</w:t>
            </w:r>
          </w:p>
        </w:tc>
        <w:tc>
          <w:tcPr>
            <w:tcW w:type="dxa" w:w="7200"/>
            <w:vAlign w:val="center"/>
            <w:tcMar>
              <w:top w:w="90" w:type="dxa"/>
              <w:start w:w="100" w:type="dxa"/>
              <w:bottom w:w="90" w:type="dxa"/>
              <w:end w:w="100" w:type="dxa"/>
            </w:tcMar>
          </w:tcPr>
          <w:p>
            <w:pPr>
              <w:spacing w:after="0"/>
            </w:pPr>
            <w:r>
              <w:rPr>
                <w:rFonts w:ascii="Aptos" w:hAnsi="Aptos"/>
                <w:sz w:val="18"/>
              </w:rPr>
              <w:t>Supplies security controls for storage, access, integrity and disposal.</w:t>
            </w:r>
          </w:p>
        </w:tc>
      </w:tr>
      <w:tr>
        <w:tc>
          <w:tcPr>
            <w:tcW w:type="dxa" w:w="3168"/>
            <w:vAlign w:val="center"/>
            <w:tcMar>
              <w:top w:w="90" w:type="dxa"/>
              <w:start w:w="100" w:type="dxa"/>
              <w:bottom w:w="90" w:type="dxa"/>
              <w:end w:w="100" w:type="dxa"/>
            </w:tcMar>
          </w:tcPr>
          <w:p>
            <w:pPr>
              <w:spacing w:after="0"/>
            </w:pPr>
            <w:r>
              <w:rPr>
                <w:rFonts w:ascii="Aptos" w:hAnsi="Aptos"/>
                <w:sz w:val="18"/>
              </w:rPr>
              <w:t>Data Lifecycle / Platform Governance</w:t>
            </w:r>
          </w:p>
        </w:tc>
        <w:tc>
          <w:tcPr>
            <w:tcW w:type="dxa" w:w="7200"/>
            <w:vAlign w:val="center"/>
            <w:tcMar>
              <w:top w:w="90" w:type="dxa"/>
              <w:start w:w="100" w:type="dxa"/>
              <w:bottom w:w="90" w:type="dxa"/>
              <w:end w:w="100" w:type="dxa"/>
            </w:tcMar>
          </w:tcPr>
          <w:p>
            <w:pPr>
              <w:spacing w:after="0"/>
            </w:pPr>
            <w:r>
              <w:rPr>
                <w:rFonts w:ascii="Aptos" w:hAnsi="Aptos"/>
                <w:sz w:val="18"/>
              </w:rPr>
              <w:t>Supplies technical implementation for archive, anonymisation, deletion, backup and system enforcement.</w:t>
            </w:r>
          </w:p>
        </w:tc>
      </w:tr>
      <w:tr>
        <w:tc>
          <w:tcPr>
            <w:tcW w:type="dxa" w:w="3168"/>
            <w:vAlign w:val="center"/>
            <w:tcMar>
              <w:top w:w="90" w:type="dxa"/>
              <w:start w:w="100" w:type="dxa"/>
              <w:bottom w:w="90" w:type="dxa"/>
              <w:end w:w="100" w:type="dxa"/>
            </w:tcMar>
          </w:tcPr>
          <w:p>
            <w:pPr>
              <w:spacing w:after="0"/>
            </w:pPr>
            <w:r>
              <w:rPr>
                <w:rFonts w:ascii="Aptos" w:hAnsi="Aptos"/>
                <w:sz w:val="18"/>
              </w:rPr>
              <w:t>Licence / Permit / Certificate Governance</w:t>
            </w:r>
          </w:p>
        </w:tc>
        <w:tc>
          <w:tcPr>
            <w:tcW w:type="dxa" w:w="7200"/>
            <w:vAlign w:val="center"/>
            <w:tcMar>
              <w:top w:w="90" w:type="dxa"/>
              <w:start w:w="100" w:type="dxa"/>
              <w:bottom w:w="90" w:type="dxa"/>
              <w:end w:w="100" w:type="dxa"/>
            </w:tcMar>
          </w:tcPr>
          <w:p>
            <w:pPr>
              <w:spacing w:after="0"/>
            </w:pPr>
            <w:r>
              <w:rPr>
                <w:rFonts w:ascii="Aptos" w:hAnsi="Aptos"/>
                <w:sz w:val="18"/>
              </w:rPr>
              <w:t>Supplies authoritative lifecycle and status of statutory/regulatory authorisations.</w:t>
            </w:r>
          </w:p>
        </w:tc>
      </w:tr>
      <w:tr>
        <w:tc>
          <w:tcPr>
            <w:tcW w:type="dxa" w:w="3168"/>
            <w:vAlign w:val="center"/>
            <w:tcMar>
              <w:top w:w="90" w:type="dxa"/>
              <w:start w:w="100" w:type="dxa"/>
              <w:bottom w:w="90" w:type="dxa"/>
              <w:end w:w="100" w:type="dxa"/>
            </w:tcMar>
          </w:tcPr>
          <w:p>
            <w:pPr>
              <w:spacing w:after="0"/>
            </w:pPr>
            <w:r>
              <w:rPr>
                <w:rFonts w:ascii="Aptos" w:hAnsi="Aptos"/>
                <w:sz w:val="18"/>
              </w:rPr>
              <w:t>Risk / Incident / NCA / Audit</w:t>
            </w:r>
          </w:p>
        </w:tc>
        <w:tc>
          <w:tcPr>
            <w:tcW w:type="dxa" w:w="7200"/>
            <w:vAlign w:val="center"/>
            <w:tcMar>
              <w:top w:w="90" w:type="dxa"/>
              <w:start w:w="100" w:type="dxa"/>
              <w:bottom w:w="90" w:type="dxa"/>
              <w:end w:w="100" w:type="dxa"/>
            </w:tcMar>
          </w:tcPr>
          <w:p>
            <w:pPr>
              <w:spacing w:after="0"/>
            </w:pPr>
            <w:r>
              <w:rPr>
                <w:rFonts w:ascii="Aptos" w:hAnsi="Aptos"/>
                <w:sz w:val="18"/>
              </w:rPr>
              <w:t>Retain their own authoritative source records and link to governed Record IDs where applicable.</w:t>
            </w:r>
          </w:p>
        </w:tc>
      </w:tr>
    </w:tbl>
    <w:p/>
    <w:p>
      <w:pPr>
        <w:pStyle w:val="Heading1"/>
      </w:pPr>
      <w:r>
        <w:t>10.0 CATALOGUE, REGISTERS &amp; VIEWS</w:t>
      </w:r>
    </w:p>
    <w:tbl>
      <w:tblPr>
        <w:tblW w:type="auto" w:w="0"/>
        <w:jc w:val="center"/>
        <w:tblLayout w:type="fixed"/>
        <w:tblLook w:firstColumn="1" w:firstRow="1" w:lastColumn="0" w:lastRow="0" w:noHBand="0" w:noVBand="1" w:val="04A0"/>
      </w:tblPr>
      <w:tblGrid>
        <w:gridCol w:w="3312"/>
        <w:gridCol w:w="7056"/>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Artefact</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Purpose / authority</w:t>
            </w:r>
          </w:p>
        </w:tc>
      </w:tr>
      <w:tr>
        <w:tc>
          <w:tcPr>
            <w:tcW w:type="dxa" w:w="3312"/>
            <w:vAlign w:val="center"/>
            <w:tcMar>
              <w:top w:w="90" w:type="dxa"/>
              <w:start w:w="100" w:type="dxa"/>
              <w:bottom w:w="90" w:type="dxa"/>
              <w:end w:w="100" w:type="dxa"/>
            </w:tcMar>
          </w:tcPr>
          <w:p>
            <w:pPr>
              <w:spacing w:after="0"/>
            </w:pPr>
            <w:r>
              <w:rPr>
                <w:rFonts w:ascii="Aptos" w:hAnsi="Aptos"/>
                <w:sz w:val="18"/>
              </w:rPr>
              <w:t>Enterprise Records Catalogue</w:t>
            </w:r>
          </w:p>
        </w:tc>
        <w:tc>
          <w:tcPr>
            <w:tcW w:type="dxa" w:w="7056"/>
            <w:vAlign w:val="center"/>
            <w:tcMar>
              <w:top w:w="90" w:type="dxa"/>
              <w:start w:w="100" w:type="dxa"/>
              <w:bottom w:w="90" w:type="dxa"/>
              <w:end w:w="100" w:type="dxa"/>
            </w:tcMar>
          </w:tcPr>
          <w:p>
            <w:pPr>
              <w:spacing w:after="0"/>
            </w:pPr>
            <w:r>
              <w:rPr>
                <w:rFonts w:ascii="Aptos" w:hAnsi="Aptos"/>
                <w:sz w:val="18"/>
              </w:rPr>
              <w:t>Authoritative controlled master of approved Record Types, Record Names and stable Record IDs.</w:t>
            </w:r>
          </w:p>
        </w:tc>
      </w:tr>
      <w:tr>
        <w:tc>
          <w:tcPr>
            <w:tcW w:type="dxa" w:w="3312"/>
            <w:vAlign w:val="center"/>
            <w:tcMar>
              <w:top w:w="90" w:type="dxa"/>
              <w:start w:w="100" w:type="dxa"/>
              <w:bottom w:w="90" w:type="dxa"/>
              <w:end w:w="100" w:type="dxa"/>
            </w:tcMar>
          </w:tcPr>
          <w:p>
            <w:pPr>
              <w:spacing w:after="0"/>
            </w:pPr>
            <w:r>
              <w:rPr>
                <w:rFonts w:ascii="Aptos" w:hAnsi="Aptos"/>
                <w:sz w:val="18"/>
              </w:rPr>
              <w:t>Records Retention &amp; Disposition View</w:t>
            </w:r>
          </w:p>
        </w:tc>
        <w:tc>
          <w:tcPr>
            <w:tcW w:type="dxa" w:w="7056"/>
            <w:vAlign w:val="center"/>
            <w:tcMar>
              <w:top w:w="90" w:type="dxa"/>
              <w:start w:w="100" w:type="dxa"/>
              <w:bottom w:w="90" w:type="dxa"/>
              <w:end w:w="100" w:type="dxa"/>
            </w:tcMar>
          </w:tcPr>
          <w:p>
            <w:pPr>
              <w:spacing w:after="0"/>
            </w:pPr>
            <w:r>
              <w:rPr>
                <w:rFonts w:ascii="Aptos" w:hAnsi="Aptos"/>
                <w:sz w:val="18"/>
              </w:rPr>
              <w:t>Operational view of approved retention, trigger, authority and disposition against governed Record IDs.</w:t>
            </w:r>
          </w:p>
        </w:tc>
      </w:tr>
      <w:tr>
        <w:tc>
          <w:tcPr>
            <w:tcW w:type="dxa" w:w="3312"/>
            <w:vAlign w:val="center"/>
            <w:tcMar>
              <w:top w:w="90" w:type="dxa"/>
              <w:start w:w="100" w:type="dxa"/>
              <w:bottom w:w="90" w:type="dxa"/>
              <w:end w:w="100" w:type="dxa"/>
            </w:tcMar>
          </w:tcPr>
          <w:p>
            <w:pPr>
              <w:spacing w:after="0"/>
            </w:pPr>
            <w:r>
              <w:rPr>
                <w:rFonts w:ascii="Aptos" w:hAnsi="Aptos"/>
                <w:sz w:val="18"/>
              </w:rPr>
              <w:t>Findability View</w:t>
            </w:r>
          </w:p>
        </w:tc>
        <w:tc>
          <w:tcPr>
            <w:tcW w:type="dxa" w:w="7056"/>
            <w:vAlign w:val="center"/>
            <w:tcMar>
              <w:top w:w="90" w:type="dxa"/>
              <w:start w:w="100" w:type="dxa"/>
              <w:bottom w:w="90" w:type="dxa"/>
              <w:end w:w="100" w:type="dxa"/>
            </w:tcMar>
          </w:tcPr>
          <w:p>
            <w:pPr>
              <w:spacing w:after="0"/>
            </w:pPr>
            <w:r>
              <w:rPr>
                <w:rFonts w:ascii="Aptos" w:hAnsi="Aptos"/>
                <w:sz w:val="18"/>
              </w:rPr>
              <w:t>Operational view of authoritative location/source, retrieval instruction and context-specific custody.</w:t>
            </w:r>
          </w:p>
        </w:tc>
      </w:tr>
      <w:tr>
        <w:tc>
          <w:tcPr>
            <w:tcW w:type="dxa" w:w="3312"/>
            <w:vAlign w:val="center"/>
            <w:tcMar>
              <w:top w:w="90" w:type="dxa"/>
              <w:start w:w="100" w:type="dxa"/>
              <w:bottom w:w="90" w:type="dxa"/>
              <w:end w:w="100" w:type="dxa"/>
            </w:tcMar>
          </w:tcPr>
          <w:p>
            <w:pPr>
              <w:spacing w:after="0"/>
            </w:pPr>
            <w:r>
              <w:rPr>
                <w:rFonts w:ascii="Aptos" w:hAnsi="Aptos"/>
                <w:sz w:val="18"/>
              </w:rPr>
              <w:t>GRC Evidence View</w:t>
            </w:r>
          </w:p>
        </w:tc>
        <w:tc>
          <w:tcPr>
            <w:tcW w:type="dxa" w:w="7056"/>
            <w:vAlign w:val="center"/>
            <w:tcMar>
              <w:top w:w="90" w:type="dxa"/>
              <w:start w:w="100" w:type="dxa"/>
              <w:bottom w:w="90" w:type="dxa"/>
              <w:end w:w="100" w:type="dxa"/>
            </w:tcMar>
          </w:tcPr>
          <w:p>
            <w:pPr>
              <w:spacing w:after="0"/>
            </w:pPr>
            <w:r>
              <w:rPr>
                <w:rFonts w:ascii="Aptos" w:hAnsi="Aptos"/>
                <w:sz w:val="18"/>
              </w:rPr>
              <w:t>Links Control IDs to Record IDs, monitoring requirements and authoritative evidence sources.</w:t>
            </w:r>
          </w:p>
        </w:tc>
      </w:tr>
      <w:tr>
        <w:tc>
          <w:tcPr>
            <w:tcW w:type="dxa" w:w="3312"/>
            <w:vAlign w:val="center"/>
            <w:tcMar>
              <w:top w:w="90" w:type="dxa"/>
              <w:start w:w="100" w:type="dxa"/>
              <w:bottom w:w="90" w:type="dxa"/>
              <w:end w:w="100" w:type="dxa"/>
            </w:tcMar>
          </w:tcPr>
          <w:p>
            <w:pPr>
              <w:spacing w:after="0"/>
            </w:pPr>
            <w:r>
              <w:rPr>
                <w:rFonts w:ascii="Aptos" w:hAnsi="Aptos"/>
                <w:sz w:val="18"/>
              </w:rPr>
              <w:t>ROPA / SRML / Risk Register / other specialist masters</w:t>
            </w:r>
          </w:p>
        </w:tc>
        <w:tc>
          <w:tcPr>
            <w:tcW w:type="dxa" w:w="7056"/>
            <w:vAlign w:val="center"/>
            <w:tcMar>
              <w:top w:w="90" w:type="dxa"/>
              <w:start w:w="100" w:type="dxa"/>
              <w:bottom w:w="90" w:type="dxa"/>
              <w:end w:w="100" w:type="dxa"/>
            </w:tcMar>
          </w:tcPr>
          <w:p>
            <w:pPr>
              <w:spacing w:after="0"/>
            </w:pPr>
            <w:r>
              <w:rPr>
                <w:rFonts w:ascii="Aptos" w:hAnsi="Aptos"/>
                <w:sz w:val="18"/>
              </w:rPr>
              <w:t>Remain authoritative for their specialist subject matter; the records model references them rather than duplicating them.</w:t>
            </w:r>
          </w:p>
        </w:tc>
      </w:tr>
    </w:tbl>
    <w:p/>
    <w:p>
      <w:pPr>
        <w:pStyle w:val="Heading1"/>
      </w:pPr>
      <w:r>
        <w:t>11.0 REQUIREMENTS FOR CONTROL DOCUMENTS</w:t>
      </w:r>
    </w:p>
    <w:p>
      <w:pPr>
        <w:pStyle w:val="ListBullet"/>
      </w:pPr>
      <w:r>
        <w:t>Controls identify the required Record Name or governed evidence object; they do not recreate enterprise metadata that is already governed centrally.</w:t>
      </w:r>
    </w:p>
    <w:p>
      <w:pPr>
        <w:pStyle w:val="ListBullet"/>
      </w:pPr>
      <w:r>
        <w:t>Layer 3 Standards define evidence and monitoring requirements. Layer 4 documents explain how the evidence is created, used or handed off.</w:t>
      </w:r>
    </w:p>
    <w:p>
      <w:pPr>
        <w:pStyle w:val="ListBullet"/>
      </w:pPr>
      <w:r>
        <w:t>Control documents do not create private retention schedules, ad hoc Record Types, local authoritative masters or duplicate source records.</w:t>
      </w:r>
    </w:p>
    <w:p>
      <w:pPr>
        <w:pStyle w:val="ListBullet"/>
      </w:pPr>
      <w:r>
        <w:t>Where a local system/repository restriction is itself an operational control requirement, the document may state it explicitly while still resolving the governed Record Name to the enterprise model.</w:t>
      </w:r>
    </w:p>
    <w:p>
      <w:pPr>
        <w:pStyle w:val="Heading2"/>
      </w:pPr>
      <w:r>
        <w:t>11.1 Authoritative reference and governed extension</w:t>
      </w:r>
    </w:p>
    <w:p>
      <w:pPr>
        <w:pStyle w:val="ListBullet"/>
      </w:pPr>
      <w:r>
        <w:t>Where a Record Name or related governed object already exists in an authoritative enterprise source, controls and views reference it rather than recreate it. Where a genuine gap is discovered during control design, drafting, review or GRC extraction, the gap may be proposed for governed addition without stopping the underlying drafting activity; approval of the new object follows the applicable governance route.</w:t>
      </w:r>
    </w:p>
    <w:p>
      <w:pPr>
        <w:pStyle w:val="Heading1"/>
      </w:pPr>
      <w:r>
        <w:t>12.0 ESTATE REGULARISATION</w:t>
      </w:r>
    </w:p>
    <w:p>
      <w:r>
        <w:t>Compliance periodically reviews the authoritative controlled-document estate and referenced operational artefacts for new record candidates, duplicate Record Names, private taxonomies, hard-coded findability rules and local retention/disposition rules. Discovery identifies candidates; it does not make a local label authoritative. Candidates are reconciled once into the Enterprise Records Catalogue and affected controls are cleaned up through normal CDI change control.</w:t>
      </w:r>
    </w:p>
    <w:p>
      <w:pPr>
        <w:pStyle w:val="Heading1"/>
      </w:pPr>
      <w:r>
        <w:t>13.0 ROLES &amp; REVIEW</w:t>
      </w:r>
    </w:p>
    <w:tbl>
      <w:tblPr>
        <w:tblW w:type="auto" w:w="0"/>
        <w:jc w:val="center"/>
        <w:tblLayout w:type="fixed"/>
        <w:tblLook w:firstColumn="1" w:firstRow="1" w:lastColumn="0" w:lastRow="0" w:noHBand="0" w:noVBand="1" w:val="04A0"/>
      </w:tblPr>
      <w:tblGrid>
        <w:gridCol w:w="3024"/>
        <w:gridCol w:w="7344"/>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Role</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Responsibility</w:t>
            </w:r>
          </w:p>
        </w:tc>
      </w:tr>
      <w:tr>
        <w:tc>
          <w:tcPr>
            <w:tcW w:type="dxa" w:w="3024"/>
            <w:vAlign w:val="center"/>
            <w:tcMar>
              <w:top w:w="90" w:type="dxa"/>
              <w:start w:w="100" w:type="dxa"/>
              <w:bottom w:w="90" w:type="dxa"/>
              <w:end w:w="100" w:type="dxa"/>
            </w:tcMar>
          </w:tcPr>
          <w:p>
            <w:pPr>
              <w:spacing w:after="0"/>
            </w:pPr>
            <w:r>
              <w:rPr>
                <w:rFonts w:ascii="Aptos" w:hAnsi="Aptos"/>
                <w:sz w:val="18"/>
              </w:rPr>
              <w:t>Records Governance / Compliance</w:t>
            </w:r>
          </w:p>
        </w:tc>
        <w:tc>
          <w:tcPr>
            <w:tcW w:type="dxa" w:w="7344"/>
            <w:vAlign w:val="center"/>
            <w:tcMar>
              <w:top w:w="90" w:type="dxa"/>
              <w:start w:w="100" w:type="dxa"/>
              <w:bottom w:w="90" w:type="dxa"/>
              <w:end w:w="100" w:type="dxa"/>
            </w:tcMar>
          </w:tcPr>
          <w:p>
            <w:pPr>
              <w:spacing w:after="0"/>
            </w:pPr>
            <w:r>
              <w:rPr>
                <w:rFonts w:ascii="Aptos" w:hAnsi="Aptos"/>
                <w:sz w:val="18"/>
              </w:rPr>
              <w:t>Maintains this Standard, the Catalogue architecture and regularisation process; coordinates resolution through the proper specialist authority.</w:t>
            </w:r>
          </w:p>
        </w:tc>
      </w:tr>
      <w:tr>
        <w:tc>
          <w:tcPr>
            <w:tcW w:type="dxa" w:w="3024"/>
            <w:vAlign w:val="center"/>
            <w:tcMar>
              <w:top w:w="90" w:type="dxa"/>
              <w:start w:w="100" w:type="dxa"/>
              <w:bottom w:w="90" w:type="dxa"/>
              <w:end w:w="100" w:type="dxa"/>
            </w:tcMar>
          </w:tcPr>
          <w:p>
            <w:pPr>
              <w:spacing w:after="0"/>
            </w:pPr>
            <w:r>
              <w:rPr>
                <w:rFonts w:ascii="Aptos" w:hAnsi="Aptos"/>
                <w:sz w:val="18"/>
              </w:rPr>
              <w:t>Document / Control Owner</w:t>
            </w:r>
          </w:p>
        </w:tc>
        <w:tc>
          <w:tcPr>
            <w:tcW w:type="dxa" w:w="7344"/>
            <w:vAlign w:val="center"/>
            <w:tcMar>
              <w:top w:w="90" w:type="dxa"/>
              <w:start w:w="100" w:type="dxa"/>
              <w:bottom w:w="90" w:type="dxa"/>
              <w:end w:w="100" w:type="dxa"/>
            </w:tcMar>
          </w:tcPr>
          <w:p>
            <w:pPr>
              <w:spacing w:after="0"/>
            </w:pPr>
            <w:r>
              <w:rPr>
                <w:rFonts w:ascii="Aptos" w:hAnsi="Aptos"/>
                <w:sz w:val="18"/>
              </w:rPr>
              <w:t>Identifies required evidence and uses approved Record Names/Types.</w:t>
            </w:r>
          </w:p>
        </w:tc>
      </w:tr>
      <w:tr>
        <w:tc>
          <w:tcPr>
            <w:tcW w:type="dxa" w:w="3024"/>
            <w:vAlign w:val="center"/>
            <w:tcMar>
              <w:top w:w="90" w:type="dxa"/>
              <w:start w:w="100" w:type="dxa"/>
              <w:bottom w:w="90" w:type="dxa"/>
              <w:end w:w="100" w:type="dxa"/>
            </w:tcMar>
          </w:tcPr>
          <w:p>
            <w:pPr>
              <w:spacing w:after="0"/>
            </w:pPr>
            <w:r>
              <w:rPr>
                <w:rFonts w:ascii="Aptos" w:hAnsi="Aptos"/>
                <w:sz w:val="18"/>
              </w:rPr>
              <w:t>Process / Record Custodian</w:t>
            </w:r>
          </w:p>
        </w:tc>
        <w:tc>
          <w:tcPr>
            <w:tcW w:type="dxa" w:w="7344"/>
            <w:vAlign w:val="center"/>
            <w:tcMar>
              <w:top w:w="90" w:type="dxa"/>
              <w:start w:w="100" w:type="dxa"/>
              <w:bottom w:w="90" w:type="dxa"/>
              <w:end w:w="100" w:type="dxa"/>
            </w:tcMar>
          </w:tcPr>
          <w:p>
            <w:pPr>
              <w:spacing w:after="0"/>
            </w:pPr>
            <w:r>
              <w:rPr>
                <w:rFonts w:ascii="Aptos" w:hAnsi="Aptos"/>
                <w:sz w:val="18"/>
              </w:rPr>
              <w:t>Maintains the authoritative record in the declared context and supports retrieval/verification.</w:t>
            </w:r>
          </w:p>
        </w:tc>
      </w:tr>
      <w:tr>
        <w:tc>
          <w:tcPr>
            <w:tcW w:type="dxa" w:w="3024"/>
            <w:vAlign w:val="center"/>
            <w:tcMar>
              <w:top w:w="90" w:type="dxa"/>
              <w:start w:w="100" w:type="dxa"/>
              <w:bottom w:w="90" w:type="dxa"/>
              <w:end w:w="100" w:type="dxa"/>
            </w:tcMar>
          </w:tcPr>
          <w:p>
            <w:pPr>
              <w:spacing w:after="0"/>
            </w:pPr>
            <w:r>
              <w:rPr>
                <w:rFonts w:ascii="Aptos" w:hAnsi="Aptos"/>
                <w:sz w:val="18"/>
              </w:rPr>
              <w:t>Information Security</w:t>
            </w:r>
          </w:p>
        </w:tc>
        <w:tc>
          <w:tcPr>
            <w:tcW w:type="dxa" w:w="7344"/>
            <w:vAlign w:val="center"/>
            <w:tcMar>
              <w:top w:w="90" w:type="dxa"/>
              <w:start w:w="100" w:type="dxa"/>
              <w:bottom w:w="90" w:type="dxa"/>
              <w:end w:w="100" w:type="dxa"/>
            </w:tcMar>
          </w:tcPr>
          <w:p>
            <w:pPr>
              <w:spacing w:after="0"/>
            </w:pPr>
            <w:r>
              <w:rPr>
                <w:rFonts w:ascii="Aptos" w:hAnsi="Aptos"/>
                <w:sz w:val="18"/>
              </w:rPr>
              <w:t>Confirms security and classification controls.</w:t>
            </w:r>
          </w:p>
        </w:tc>
      </w:tr>
      <w:tr>
        <w:tc>
          <w:tcPr>
            <w:tcW w:type="dxa" w:w="3024"/>
            <w:vAlign w:val="center"/>
            <w:tcMar>
              <w:top w:w="90" w:type="dxa"/>
              <w:start w:w="100" w:type="dxa"/>
              <w:bottom w:w="90" w:type="dxa"/>
              <w:end w:w="100" w:type="dxa"/>
            </w:tcMar>
          </w:tcPr>
          <w:p>
            <w:pPr>
              <w:spacing w:after="0"/>
            </w:pPr>
            <w:r>
              <w:rPr>
                <w:rFonts w:ascii="Aptos" w:hAnsi="Aptos"/>
                <w:sz w:val="18"/>
              </w:rPr>
              <w:t>Data Protection / Compliance</w:t>
            </w:r>
          </w:p>
        </w:tc>
        <w:tc>
          <w:tcPr>
            <w:tcW w:type="dxa" w:w="7344"/>
            <w:vAlign w:val="center"/>
            <w:tcMar>
              <w:top w:w="90" w:type="dxa"/>
              <w:start w:w="100" w:type="dxa"/>
              <w:bottom w:w="90" w:type="dxa"/>
              <w:end w:w="100" w:type="dxa"/>
            </w:tcMar>
          </w:tcPr>
          <w:p>
            <w:pPr>
              <w:spacing w:after="0"/>
            </w:pPr>
            <w:r>
              <w:rPr>
                <w:rFonts w:ascii="Aptos" w:hAnsi="Aptos"/>
                <w:sz w:val="18"/>
              </w:rPr>
              <w:t>Confirms privacy obligations where personal data is involved.</w:t>
            </w:r>
          </w:p>
        </w:tc>
      </w:tr>
      <w:tr>
        <w:tc>
          <w:tcPr>
            <w:tcW w:type="dxa" w:w="3024"/>
            <w:vAlign w:val="center"/>
            <w:tcMar>
              <w:top w:w="90" w:type="dxa"/>
              <w:start w:w="100" w:type="dxa"/>
              <w:bottom w:w="90" w:type="dxa"/>
              <w:end w:w="100" w:type="dxa"/>
            </w:tcMar>
          </w:tcPr>
          <w:p>
            <w:pPr>
              <w:spacing w:after="0"/>
            </w:pPr>
            <w:r>
              <w:rPr>
                <w:rFonts w:ascii="Aptos" w:hAnsi="Aptos"/>
                <w:sz w:val="18"/>
              </w:rPr>
              <w:t>All Staff</w:t>
            </w:r>
          </w:p>
        </w:tc>
        <w:tc>
          <w:tcPr>
            <w:tcW w:type="dxa" w:w="7344"/>
            <w:vAlign w:val="center"/>
            <w:tcMar>
              <w:top w:w="90" w:type="dxa"/>
              <w:start w:w="100" w:type="dxa"/>
              <w:bottom w:w="90" w:type="dxa"/>
              <w:end w:w="100" w:type="dxa"/>
            </w:tcMar>
          </w:tcPr>
          <w:p>
            <w:pPr>
              <w:spacing w:after="0"/>
            </w:pPr>
            <w:r>
              <w:rPr>
                <w:rFonts w:ascii="Aptos" w:hAnsi="Aptos"/>
                <w:sz w:val="18"/>
              </w:rPr>
              <w:t>Use authoritative records and controlled views; do not create competing masters or unofficial retention rules.</w:t>
            </w:r>
          </w:p>
        </w:tc>
      </w:tr>
    </w:tbl>
    <w:p/>
    <w:p>
      <w:r>
        <w:t>This Standard is reviewed at least annually and on material change to the records-governance model or applicable authority.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Property of Dragnet Solutions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