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RECORDS TAXONOMY &amp; METADATA SPECIFICATION</w:t>
      </w:r>
    </w:p>
    <w:p>
      <w:pPr>
        <w:jc w:val="center"/>
      </w:pPr>
      <w:r>
        <w:rPr>
          <w:b/>
          <w:color w:val="666666"/>
          <w:sz w:val="20"/>
        </w:rPr>
        <w:t>QIMS Specification</w:t>
      </w:r>
    </w:p>
    <w:tbl>
      <w:tblPr>
        <w:tblW w:type="auto" w:w="0"/>
        <w:jc w:val="center"/>
        <w:tblLayout w:type="fixed"/>
        <w:tblLook w:firstColumn="1" w:firstRow="1" w:lastColumn="0" w:lastRow="0" w:noHBand="0" w:noVBand="1" w:val="04A0"/>
      </w:tblPr>
      <w:tblGrid>
        <w:gridCol w:w="3168"/>
        <w:gridCol w:w="7200"/>
      </w:tblGrid>
      <w:tr>
        <w:tc>
          <w:tcPr>
            <w:tcW w:type="dxa" w:w="3168"/>
            <w:shd w:fill="D9EAF7"/>
            <w:vAlign w:val="center"/>
            <w:tcMar>
              <w:top w:w="90" w:type="dxa"/>
              <w:start w:w="100" w:type="dxa"/>
              <w:bottom w:w="90" w:type="dxa"/>
              <w:end w:w="100" w:type="dxa"/>
            </w:tcMar>
          </w:tcPr>
          <w:p>
            <w:pPr>
              <w:spacing w:after="0"/>
            </w:pPr>
            <w:r>
              <w:rPr>
                <w:rFonts w:ascii="Aptos" w:hAnsi="Aptos"/>
                <w:b/>
                <w:sz w:val="18"/>
              </w:rPr>
              <w:t>Document Title</w:t>
            </w:r>
          </w:p>
        </w:tc>
        <w:tc>
          <w:tcPr>
            <w:tcW w:type="dxa" w:w="7200"/>
            <w:vAlign w:val="center"/>
            <w:tcMar>
              <w:top w:w="90" w:type="dxa"/>
              <w:start w:w="100" w:type="dxa"/>
              <w:bottom w:w="90" w:type="dxa"/>
              <w:end w:w="100" w:type="dxa"/>
            </w:tcMar>
          </w:tcPr>
          <w:p>
            <w:pPr>
              <w:spacing w:after="0"/>
            </w:pPr>
            <w:r>
              <w:rPr>
                <w:rFonts w:ascii="Aptos" w:hAnsi="Aptos"/>
                <w:sz w:val="18"/>
              </w:rPr>
              <w:t>Records Taxonomy &amp; Metadata Specification</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Document Code</w:t>
            </w:r>
          </w:p>
        </w:tc>
        <w:tc>
          <w:tcPr>
            <w:tcW w:type="dxa" w:w="7200"/>
            <w:vAlign w:val="center"/>
            <w:tcMar>
              <w:top w:w="90" w:type="dxa"/>
              <w:start w:w="100" w:type="dxa"/>
              <w:bottom w:w="90" w:type="dxa"/>
              <w:end w:w="100" w:type="dxa"/>
            </w:tcMar>
          </w:tcPr>
          <w:p>
            <w:pPr>
              <w:spacing w:after="0"/>
            </w:pPr>
            <w:r>
              <w:rPr>
                <w:rFonts w:ascii="Aptos" w:hAnsi="Aptos"/>
                <w:sz w:val="18"/>
              </w:rPr>
              <w:t>DRG-QI-SPEC-RMM-01-26</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Document Type / Layer</w:t>
            </w:r>
          </w:p>
        </w:tc>
        <w:tc>
          <w:tcPr>
            <w:tcW w:type="dxa" w:w="7200"/>
            <w:vAlign w:val="center"/>
            <w:tcMar>
              <w:top w:w="90" w:type="dxa"/>
              <w:start w:w="100" w:type="dxa"/>
              <w:bottom w:w="90" w:type="dxa"/>
              <w:end w:w="100" w:type="dxa"/>
            </w:tcMar>
          </w:tcPr>
          <w:p>
            <w:pPr>
              <w:spacing w:after="0"/>
            </w:pPr>
            <w:r>
              <w:rPr>
                <w:rFonts w:ascii="Aptos" w:hAnsi="Aptos"/>
                <w:sz w:val="18"/>
              </w:rPr>
              <w:t>Specification (Layer 4)</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Domain</w:t>
            </w:r>
          </w:p>
        </w:tc>
        <w:tc>
          <w:tcPr>
            <w:tcW w:type="dxa" w:w="7200"/>
            <w:vAlign w:val="center"/>
            <w:tcMar>
              <w:top w:w="90" w:type="dxa"/>
              <w:start w:w="100" w:type="dxa"/>
              <w:bottom w:w="90" w:type="dxa"/>
              <w:end w:w="100" w:type="dxa"/>
            </w:tcMar>
          </w:tcPr>
          <w:p>
            <w:pPr>
              <w:spacing w:after="0"/>
            </w:pPr>
            <w:r>
              <w:rPr>
                <w:rFonts w:ascii="Aptos" w:hAnsi="Aptos"/>
                <w:sz w:val="18"/>
              </w:rPr>
              <w:t>Quality &amp; Compliance</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Parent Document</w:t>
            </w:r>
          </w:p>
        </w:tc>
        <w:tc>
          <w:tcPr>
            <w:tcW w:type="dxa" w:w="7200"/>
            <w:vAlign w:val="center"/>
            <w:tcMar>
              <w:top w:w="90" w:type="dxa"/>
              <w:start w:w="100" w:type="dxa"/>
              <w:bottom w:w="90" w:type="dxa"/>
              <w:end w:w="100" w:type="dxa"/>
            </w:tcMar>
          </w:tcPr>
          <w:p>
            <w:pPr>
              <w:spacing w:after="0"/>
            </w:pPr>
            <w:r>
              <w:rPr>
                <w:rFonts w:ascii="Aptos" w:hAnsi="Aptos"/>
                <w:sz w:val="18"/>
              </w:rPr>
              <w:t>Information &amp; Records Governance Standard - DRG-QI-STD-IRG-01-26</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Classification</w:t>
            </w:r>
          </w:p>
        </w:tc>
        <w:tc>
          <w:tcPr>
            <w:tcW w:type="dxa" w:w="7200"/>
            <w:vAlign w:val="center"/>
            <w:tcMar>
              <w:top w:w="90" w:type="dxa"/>
              <w:start w:w="100" w:type="dxa"/>
              <w:bottom w:w="90" w:type="dxa"/>
              <w:end w:w="100" w:type="dxa"/>
            </w:tcMar>
          </w:tcPr>
          <w:p>
            <w:pPr>
              <w:spacing w:after="0"/>
            </w:pPr>
            <w:r>
              <w:rPr>
                <w:rFonts w:ascii="Aptos" w:hAnsi="Aptos"/>
                <w:sz w:val="18"/>
              </w:rPr>
              <w:t>Internal use only</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Distribution</w:t>
            </w:r>
          </w:p>
        </w:tc>
        <w:tc>
          <w:tcPr>
            <w:tcW w:type="dxa" w:w="7200"/>
            <w:vAlign w:val="center"/>
            <w:tcMar>
              <w:top w:w="90" w:type="dxa"/>
              <w:start w:w="100" w:type="dxa"/>
              <w:bottom w:w="90" w:type="dxa"/>
              <w:end w:w="100" w:type="dxa"/>
            </w:tcMar>
          </w:tcPr>
          <w:p>
            <w:pPr>
              <w:spacing w:after="0"/>
            </w:pPr>
            <w:r>
              <w:rPr>
                <w:rFonts w:ascii="Aptos" w:hAnsi="Aptos"/>
                <w:sz w:val="18"/>
              </w:rPr>
              <w:t>Staff responsible for control design, governed records and GRC metadata</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Owner</w:t>
            </w:r>
          </w:p>
        </w:tc>
        <w:tc>
          <w:tcPr>
            <w:tcW w:type="dxa" w:w="7200"/>
            <w:vAlign w:val="center"/>
            <w:tcMar>
              <w:top w:w="90" w:type="dxa"/>
              <w:start w:w="100" w:type="dxa"/>
              <w:bottom w:w="90" w:type="dxa"/>
              <w:end w:w="100" w:type="dxa"/>
            </w:tcMar>
          </w:tcPr>
          <w:p>
            <w:pPr>
              <w:spacing w:after="0"/>
            </w:pPr>
            <w:r>
              <w:rPr>
                <w:rFonts w:ascii="Aptos" w:hAnsi="Aptos"/>
                <w:sz w:val="18"/>
              </w:rPr>
              <w:t>Compliance Senior Executive</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First Pass Approval</w:t>
            </w:r>
          </w:p>
        </w:tc>
        <w:tc>
          <w:tcPr>
            <w:tcW w:type="dxa" w:w="7200"/>
            <w:vAlign w:val="center"/>
            <w:tcMar>
              <w:top w:w="90" w:type="dxa"/>
              <w:start w:w="100" w:type="dxa"/>
              <w:bottom w:w="90" w:type="dxa"/>
              <w:end w:w="100" w:type="dxa"/>
            </w:tcMar>
          </w:tcPr>
          <w:p>
            <w:pPr>
              <w:spacing w:after="0"/>
            </w:pPr>
            <w:r>
              <w:rPr>
                <w:rFonts w:ascii="Aptos" w:hAnsi="Aptos"/>
                <w:sz w:val="18"/>
              </w:rPr>
              <w:t>Chief Compliance Officer</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Final Approval</w:t>
            </w:r>
          </w:p>
        </w:tc>
        <w:tc>
          <w:tcPr>
            <w:tcW w:type="dxa" w:w="7200"/>
            <w:vAlign w:val="center"/>
            <w:tcMar>
              <w:top w:w="90" w:type="dxa"/>
              <w:start w:w="100" w:type="dxa"/>
              <w:bottom w:w="90" w:type="dxa"/>
              <w:end w:w="100" w:type="dxa"/>
            </w:tcMar>
          </w:tcPr>
          <w:p>
            <w:pPr>
              <w:spacing w:after="0"/>
            </w:pPr>
            <w:r>
              <w:rPr>
                <w:rFonts w:ascii="Aptos" w:hAnsi="Aptos"/>
                <w:sz w:val="18"/>
              </w:rPr>
              <w:t>Managing Director / CEO</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Version</w:t>
            </w:r>
          </w:p>
        </w:tc>
        <w:tc>
          <w:tcPr>
            <w:tcW w:type="dxa" w:w="7200"/>
            <w:vAlign w:val="center"/>
            <w:tcMar>
              <w:top w:w="90" w:type="dxa"/>
              <w:start w:w="100" w:type="dxa"/>
              <w:bottom w:w="90" w:type="dxa"/>
              <w:end w:w="100" w:type="dxa"/>
            </w:tcMar>
          </w:tcPr>
          <w:p>
            <w:pPr>
              <w:spacing w:after="0"/>
            </w:pPr>
            <w:r>
              <w:rPr>
                <w:rFonts w:ascii="Aptos" w:hAnsi="Aptos"/>
                <w:sz w:val="18"/>
              </w:rPr>
              <w:t>Draft</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Proposed Issue</w:t>
            </w:r>
          </w:p>
        </w:tc>
        <w:tc>
          <w:tcPr>
            <w:tcW w:type="dxa" w:w="7200"/>
            <w:vAlign w:val="center"/>
            <w:tcMar>
              <w:top w:w="90" w:type="dxa"/>
              <w:start w:w="100" w:type="dxa"/>
              <w:bottom w:w="90" w:type="dxa"/>
              <w:end w:w="100" w:type="dxa"/>
            </w:tcMar>
          </w:tcPr>
          <w:p>
            <w:pPr>
              <w:spacing w:after="0"/>
            </w:pPr>
            <w:r>
              <w:rPr>
                <w:rFonts w:ascii="Aptos" w:hAnsi="Aptos"/>
                <w:sz w:val="18"/>
              </w:rPr>
              <w:t>September 2026</w:t>
            </w:r>
          </w:p>
        </w:tc>
      </w:tr>
      <w:tr>
        <w:tc>
          <w:tcPr>
            <w:tcW w:type="dxa" w:w="3168"/>
            <w:shd w:fill="D9EAF7"/>
            <w:vAlign w:val="center"/>
            <w:tcMar>
              <w:top w:w="90" w:type="dxa"/>
              <w:start w:w="100" w:type="dxa"/>
              <w:bottom w:w="90" w:type="dxa"/>
              <w:end w:w="100" w:type="dxa"/>
            </w:tcMar>
          </w:tcPr>
          <w:p>
            <w:pPr>
              <w:spacing w:after="0"/>
            </w:pPr>
            <w:r>
              <w:rPr>
                <w:rFonts w:ascii="Aptos" w:hAnsi="Aptos"/>
                <w:b/>
                <w:sz w:val="18"/>
              </w:rPr>
              <w:t>Review Cadence</w:t>
            </w:r>
          </w:p>
        </w:tc>
        <w:tc>
          <w:tcPr>
            <w:tcW w:type="dxa" w:w="7200"/>
            <w:vAlign w:val="center"/>
            <w:tcMar>
              <w:top w:w="90" w:type="dxa"/>
              <w:start w:w="100" w:type="dxa"/>
              <w:bottom w:w="90" w:type="dxa"/>
              <w:end w:w="100" w:type="dxa"/>
            </w:tcMar>
          </w:tcPr>
          <w:p>
            <w:pPr>
              <w:spacing w:after="0"/>
            </w:pPr>
            <w:r>
              <w:rPr>
                <w:rFonts w:ascii="Aptos" w:hAnsi="Aptos"/>
                <w:sz w:val="18"/>
              </w:rPr>
              <w:t>Annual and on material change</w:t>
            </w:r>
          </w:p>
        </w:tc>
      </w:tr>
    </w:tbl>
    <w:p/>
    <w:p>
      <w:pPr>
        <w:pStyle w:val="Heading1"/>
      </w:pPr>
      <w:r>
        <w:t>REVISION HISTORY</w:t>
      </w:r>
    </w:p>
    <w:tbl>
      <w:tblPr>
        <w:tblW w:type="auto" w:w="0"/>
        <w:jc w:val="center"/>
        <w:tblLayout w:type="fixed"/>
        <w:tblLook w:firstColumn="1" w:firstRow="1" w:lastColumn="0" w:lastRow="0" w:noHBand="0" w:noVBand="1" w:val="04A0"/>
      </w:tblPr>
      <w:tblGrid>
        <w:gridCol w:w="1152"/>
        <w:gridCol w:w="1512"/>
        <w:gridCol w:w="6624"/>
        <w:gridCol w:w="1656"/>
      </w:tblGrid>
      <w:tr>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Version</w:t>
            </w:r>
          </w:p>
        </w:tc>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Date</w:t>
            </w:r>
          </w:p>
        </w:tc>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Purpose</w:t>
            </w:r>
          </w:p>
        </w:tc>
        <w:tc>
          <w:tcPr>
            <w:tcW w:type="dxa" w:w="2541"/>
            <w:shd w:fill="17365D"/>
            <w:vAlign w:val="center"/>
            <w:tcMar>
              <w:top w:w="90" w:type="dxa"/>
              <w:start w:w="100" w:type="dxa"/>
              <w:bottom w:w="90" w:type="dxa"/>
              <w:end w:w="100" w:type="dxa"/>
            </w:tcMar>
          </w:tcPr>
          <w:p>
            <w:pPr>
              <w:spacing w:after="0"/>
            </w:pPr>
            <w:r>
              <w:rPr>
                <w:rFonts w:ascii="Aptos" w:hAnsi="Aptos"/>
                <w:b/>
                <w:color w:val="FFFFFF"/>
                <w:sz w:val="18"/>
              </w:rPr>
              <w:t>Approved By</w:t>
            </w:r>
          </w:p>
        </w:tc>
      </w:tr>
      <w:tr>
        <w:tc>
          <w:tcPr>
            <w:tcW w:type="dxa" w:w="1152"/>
            <w:tcMar>
              <w:top w:w="90" w:type="dxa"/>
              <w:start w:w="100" w:type="dxa"/>
              <w:bottom w:w="90" w:type="dxa"/>
              <w:end w:w="100" w:type="dxa"/>
            </w:tcMar>
            <w:vAlign w:val="center"/>
          </w:tcPr>
          <w:p>
            <w:pPr>
              <w:spacing w:after="0"/>
            </w:pPr>
            <w:r>
              <w:rPr>
                <w:rFonts w:ascii="Aptos" w:hAnsi="Aptos"/>
                <w:sz w:val="18"/>
              </w:rPr>
              <w:t>Draft</w:t>
            </w:r>
          </w:p>
        </w:tc>
        <w:tc>
          <w:tcPr>
            <w:tcW w:type="dxa" w:w="1512"/>
            <w:tcMar>
              <w:top w:w="90" w:type="dxa"/>
              <w:start w:w="100" w:type="dxa"/>
              <w:bottom w:w="90" w:type="dxa"/>
              <w:end w:w="100" w:type="dxa"/>
            </w:tcMar>
            <w:vAlign w:val="center"/>
          </w:tcPr>
          <w:p>
            <w:pPr>
              <w:spacing w:after="0"/>
            </w:pPr>
            <w:r>
              <w:rPr>
                <w:rFonts w:ascii="Aptos" w:hAnsi="Aptos"/>
                <w:sz w:val="18"/>
              </w:rPr>
              <w:t>Sep 2026</w:t>
            </w:r>
          </w:p>
        </w:tc>
        <w:tc>
          <w:tcPr>
            <w:tcW w:type="dxa" w:w="6624"/>
            <w:tcMar>
              <w:top w:w="90" w:type="dxa"/>
              <w:start w:w="100" w:type="dxa"/>
              <w:bottom w:w="90" w:type="dxa"/>
              <w:end w:w="100" w:type="dxa"/>
            </w:tcMar>
            <w:vAlign w:val="center"/>
          </w:tcPr>
          <w:p>
            <w:pPr>
              <w:spacing w:after="0"/>
            </w:pPr>
            <w:r>
              <w:rPr>
                <w:rFonts w:ascii="Aptos" w:hAnsi="Aptos"/>
                <w:sz w:val="18"/>
              </w:rPr>
              <w:t>Initial specification for Record Type taxonomy, Record Name governance, metadata fields, standard views and controlled taxonomy extension. Clarifies that the taxonomy is authoritative for current use without creating drafting dead ends when genuine gaps are discovered.</w:t>
            </w:r>
          </w:p>
        </w:tc>
        <w:tc>
          <w:tcPr>
            <w:tcW w:type="dxa" w:w="1656"/>
            <w:tcMar>
              <w:top w:w="90" w:type="dxa"/>
              <w:start w:w="100" w:type="dxa"/>
              <w:bottom w:w="90" w:type="dxa"/>
              <w:end w:w="100" w:type="dxa"/>
            </w:tcMar>
            <w:vAlign w:val="center"/>
          </w:tcPr>
          <w:p>
            <w:pPr>
              <w:spacing w:after="0"/>
            </w:pPr>
            <w:r>
              <w:rPr>
                <w:rFonts w:ascii="Aptos" w:hAnsi="Aptos"/>
                <w:sz w:val="18"/>
              </w:rPr>
              <w:t>Pending</w:t>
            </w:r>
          </w:p>
        </w:tc>
      </w:tr>
    </w:tbl>
    <w:p/>
    <w:p>
      <w:pPr>
        <w:pStyle w:val="Heading1"/>
      </w:pPr>
      <w:r>
        <w:t>1.0 PURPOSE &amp; SCOPE</w:t>
      </w:r>
    </w:p>
    <w:p>
      <w:r>
        <w:t>This Specification defines the controlled enterprise taxonomy and metadata model used to identify and govern Record Names under the Information &amp; Records Governance Standard. It defines the boundary between semantic taxonomy and operational governance, the minimum metadata required, and the rules for maintaining the taxonomy and standard views.</w:t>
      </w:r>
    </w:p>
    <w:p>
      <w:pPr>
        <w:pStyle w:val="Heading1"/>
      </w:pPr>
      <w:r>
        <w:t>2.0 CORE OBJECTS</w:t>
      </w:r>
    </w:p>
    <w:tbl>
      <w:tblPr>
        <w:tblW w:type="auto" w:w="0"/>
        <w:jc w:val="center"/>
        <w:tblLayout w:type="fixed"/>
        <w:tblLook w:firstColumn="1" w:firstRow="1" w:lastColumn="0" w:lastRow="0" w:noHBand="0" w:noVBand="1" w:val="04A0"/>
      </w:tblPr>
      <w:tblGrid>
        <w:gridCol w:w="2304"/>
        <w:gridCol w:w="3888"/>
        <w:gridCol w:w="4176"/>
      </w:tblGrid>
      <w:tr>
        <w:tc>
          <w:tcPr>
            <w:tcW w:type="dxa" w:w="3389"/>
            <w:shd w:fill="17365D"/>
            <w:vAlign w:val="center"/>
            <w:tcMar>
              <w:top w:w="90" w:type="dxa"/>
              <w:start w:w="100" w:type="dxa"/>
              <w:bottom w:w="90" w:type="dxa"/>
              <w:end w:w="100" w:type="dxa"/>
            </w:tcMar>
          </w:tcPr>
          <w:p>
            <w:pPr>
              <w:spacing w:after="0"/>
            </w:pPr>
            <w:r>
              <w:rPr>
                <w:rFonts w:ascii="Aptos" w:hAnsi="Aptos"/>
                <w:b/>
                <w:color w:val="FFFFFF"/>
                <w:sz w:val="18"/>
              </w:rPr>
              <w:t>Object</w:t>
            </w:r>
          </w:p>
        </w:tc>
        <w:tc>
          <w:tcPr>
            <w:tcW w:type="dxa" w:w="3389"/>
            <w:shd w:fill="17365D"/>
            <w:vAlign w:val="center"/>
            <w:tcMar>
              <w:top w:w="90" w:type="dxa"/>
              <w:start w:w="100" w:type="dxa"/>
              <w:bottom w:w="90" w:type="dxa"/>
              <w:end w:w="100" w:type="dxa"/>
            </w:tcMar>
          </w:tcPr>
          <w:p>
            <w:pPr>
              <w:spacing w:after="0"/>
            </w:pPr>
            <w:r>
              <w:rPr>
                <w:rFonts w:ascii="Aptos" w:hAnsi="Aptos"/>
                <w:b/>
                <w:color w:val="FFFFFF"/>
                <w:sz w:val="18"/>
              </w:rPr>
              <w:t>Purpose</w:t>
            </w:r>
          </w:p>
        </w:tc>
        <w:tc>
          <w:tcPr>
            <w:tcW w:type="dxa" w:w="3389"/>
            <w:shd w:fill="17365D"/>
            <w:vAlign w:val="center"/>
            <w:tcMar>
              <w:top w:w="90" w:type="dxa"/>
              <w:start w:w="100" w:type="dxa"/>
              <w:bottom w:w="90" w:type="dxa"/>
              <w:end w:w="100" w:type="dxa"/>
            </w:tcMar>
          </w:tcPr>
          <w:p>
            <w:pPr>
              <w:spacing w:after="0"/>
            </w:pPr>
            <w:r>
              <w:rPr>
                <w:rFonts w:ascii="Aptos" w:hAnsi="Aptos"/>
                <w:b/>
                <w:color w:val="FFFFFF"/>
                <w:sz w:val="18"/>
              </w:rPr>
              <w:t>Rule</w:t>
            </w:r>
          </w:p>
        </w:tc>
      </w:tr>
      <w:tr>
        <w:tc>
          <w:tcPr>
            <w:tcW w:type="dxa" w:w="2304"/>
            <w:vAlign w:val="center"/>
            <w:tcMar>
              <w:top w:w="90" w:type="dxa"/>
              <w:start w:w="100" w:type="dxa"/>
              <w:bottom w:w="90" w:type="dxa"/>
              <w:end w:w="100" w:type="dxa"/>
            </w:tcMar>
          </w:tcPr>
          <w:p>
            <w:pPr>
              <w:spacing w:after="0"/>
            </w:pPr>
            <w:r>
              <w:rPr>
                <w:rFonts w:ascii="Aptos" w:hAnsi="Aptos"/>
                <w:sz w:val="18"/>
              </w:rPr>
              <w:t>Record Type</w:t>
            </w:r>
          </w:p>
        </w:tc>
        <w:tc>
          <w:tcPr>
            <w:tcW w:type="dxa" w:w="3888"/>
            <w:vAlign w:val="center"/>
            <w:tcMar>
              <w:top w:w="90" w:type="dxa"/>
              <w:start w:w="100" w:type="dxa"/>
              <w:bottom w:w="90" w:type="dxa"/>
              <w:end w:w="100" w:type="dxa"/>
            </w:tcMar>
          </w:tcPr>
          <w:p>
            <w:pPr>
              <w:spacing w:after="0"/>
            </w:pPr>
            <w:r>
              <w:rPr>
                <w:rFonts w:ascii="Aptos" w:hAnsi="Aptos"/>
                <w:sz w:val="18"/>
              </w:rPr>
              <w:t>Reusable semantic description of the kind of organisational evidence.</w:t>
            </w:r>
          </w:p>
        </w:tc>
        <w:tc>
          <w:tcPr>
            <w:tcW w:type="dxa" w:w="4176"/>
            <w:vAlign w:val="center"/>
            <w:tcMar>
              <w:top w:w="90" w:type="dxa"/>
              <w:start w:w="100" w:type="dxa"/>
              <w:bottom w:w="90" w:type="dxa"/>
              <w:end w:w="100" w:type="dxa"/>
            </w:tcMar>
          </w:tcPr>
          <w:p>
            <w:pPr>
              <w:spacing w:after="0"/>
            </w:pPr>
            <w:r>
              <w:rPr>
                <w:rFonts w:ascii="Aptos" w:hAnsi="Aptos"/>
                <w:sz w:val="18"/>
              </w:rPr>
              <w:t>Carries semantics only; does not carry universal custody, location, retention or disposition.</w:t>
            </w:r>
          </w:p>
        </w:tc>
      </w:tr>
      <w:tr>
        <w:tc>
          <w:tcPr>
            <w:tcW w:type="dxa" w:w="2304"/>
            <w:vAlign w:val="center"/>
            <w:tcMar>
              <w:top w:w="90" w:type="dxa"/>
              <w:start w:w="100" w:type="dxa"/>
              <w:bottom w:w="90" w:type="dxa"/>
              <w:end w:w="100" w:type="dxa"/>
            </w:tcMar>
          </w:tcPr>
          <w:p>
            <w:pPr>
              <w:spacing w:after="0"/>
            </w:pPr>
            <w:r>
              <w:rPr>
                <w:rFonts w:ascii="Aptos" w:hAnsi="Aptos"/>
                <w:sz w:val="18"/>
              </w:rPr>
              <w:t>Record Name</w:t>
            </w:r>
          </w:p>
        </w:tc>
        <w:tc>
          <w:tcPr>
            <w:tcW w:type="dxa" w:w="3888"/>
            <w:vAlign w:val="center"/>
            <w:tcMar>
              <w:top w:w="90" w:type="dxa"/>
              <w:start w:w="100" w:type="dxa"/>
              <w:bottom w:w="90" w:type="dxa"/>
              <w:end w:w="100" w:type="dxa"/>
            </w:tcMar>
          </w:tcPr>
          <w:p>
            <w:pPr>
              <w:spacing w:after="0"/>
            </w:pPr>
            <w:r>
              <w:rPr>
                <w:rFonts w:ascii="Aptos" w:hAnsi="Aptos"/>
                <w:sz w:val="18"/>
              </w:rPr>
              <w:t>Canonical identity of a specific evidence object.</w:t>
            </w:r>
          </w:p>
        </w:tc>
        <w:tc>
          <w:tcPr>
            <w:tcW w:type="dxa" w:w="4176"/>
            <w:vAlign w:val="center"/>
            <w:tcMar>
              <w:top w:w="90" w:type="dxa"/>
              <w:start w:w="100" w:type="dxa"/>
              <w:bottom w:w="90" w:type="dxa"/>
              <w:end w:w="100" w:type="dxa"/>
            </w:tcMar>
          </w:tcPr>
          <w:p>
            <w:pPr>
              <w:spacing w:after="0"/>
            </w:pPr>
            <w:r>
              <w:rPr>
                <w:rFonts w:ascii="Aptos" w:hAnsi="Aptos"/>
                <w:sz w:val="18"/>
              </w:rPr>
              <w:t>Primary governed object against which applicable operational metadata is assigned or referenced.</w:t>
            </w:r>
          </w:p>
        </w:tc>
      </w:tr>
      <w:tr>
        <w:tc>
          <w:tcPr>
            <w:tcW w:type="dxa" w:w="2304"/>
            <w:vAlign w:val="center"/>
            <w:tcMar>
              <w:top w:w="90" w:type="dxa"/>
              <w:start w:w="100" w:type="dxa"/>
              <w:bottom w:w="90" w:type="dxa"/>
              <w:end w:w="100" w:type="dxa"/>
            </w:tcMar>
          </w:tcPr>
          <w:p>
            <w:pPr>
              <w:spacing w:after="0"/>
            </w:pPr>
            <w:r>
              <w:rPr>
                <w:rFonts w:ascii="Aptos" w:hAnsi="Aptos"/>
                <w:sz w:val="18"/>
              </w:rPr>
              <w:t>Record ID</w:t>
            </w:r>
          </w:p>
        </w:tc>
        <w:tc>
          <w:tcPr>
            <w:tcW w:type="dxa" w:w="3888"/>
            <w:vAlign w:val="center"/>
            <w:tcMar>
              <w:top w:w="90" w:type="dxa"/>
              <w:start w:w="100" w:type="dxa"/>
              <w:bottom w:w="90" w:type="dxa"/>
              <w:end w:w="100" w:type="dxa"/>
            </w:tcMar>
          </w:tcPr>
          <w:p>
            <w:pPr>
              <w:spacing w:after="0"/>
            </w:pPr>
            <w:r>
              <w:rPr>
                <w:rFonts w:ascii="Aptos" w:hAnsi="Aptos"/>
                <w:sz w:val="18"/>
              </w:rPr>
              <w:t>Stable enterprise identifier for a governed Record Name.</w:t>
            </w:r>
          </w:p>
        </w:tc>
        <w:tc>
          <w:tcPr>
            <w:tcW w:type="dxa" w:w="4176"/>
            <w:vAlign w:val="center"/>
            <w:tcMar>
              <w:top w:w="90" w:type="dxa"/>
              <w:start w:w="100" w:type="dxa"/>
              <w:bottom w:w="90" w:type="dxa"/>
              <w:end w:w="100" w:type="dxa"/>
            </w:tcMar>
          </w:tcPr>
          <w:p>
            <w:pPr>
              <w:spacing w:after="0"/>
            </w:pPr>
            <w:r>
              <w:rPr>
                <w:rFonts w:ascii="Aptos" w:hAnsi="Aptos"/>
                <w:sz w:val="18"/>
              </w:rPr>
              <w:t>Remains stable across views and reasonable platform/location changes.</w:t>
            </w:r>
          </w:p>
        </w:tc>
      </w:tr>
      <w:tr>
        <w:tc>
          <w:tcPr>
            <w:tcW w:type="dxa" w:w="2304"/>
            <w:vAlign w:val="center"/>
            <w:tcMar>
              <w:top w:w="90" w:type="dxa"/>
              <w:start w:w="100" w:type="dxa"/>
              <w:bottom w:w="90" w:type="dxa"/>
              <w:end w:w="100" w:type="dxa"/>
            </w:tcMar>
          </w:tcPr>
          <w:p>
            <w:pPr>
              <w:spacing w:after="0"/>
            </w:pPr>
            <w:r>
              <w:rPr>
                <w:rFonts w:ascii="Aptos" w:hAnsi="Aptos"/>
                <w:sz w:val="18"/>
              </w:rPr>
              <w:t>Record Class</w:t>
            </w:r>
          </w:p>
        </w:tc>
        <w:tc>
          <w:tcPr>
            <w:tcW w:type="dxa" w:w="3888"/>
            <w:vAlign w:val="center"/>
            <w:tcMar>
              <w:top w:w="90" w:type="dxa"/>
              <w:start w:w="100" w:type="dxa"/>
              <w:bottom w:w="90" w:type="dxa"/>
              <w:end w:w="100" w:type="dxa"/>
            </w:tcMar>
          </w:tcPr>
          <w:p>
            <w:pPr>
              <w:spacing w:after="0"/>
            </w:pPr>
            <w:r>
              <w:rPr>
                <w:rFonts w:ascii="Aptos" w:hAnsi="Aptos"/>
                <w:sz w:val="18"/>
              </w:rPr>
              <w:t>Optional higher-level grouping.</w:t>
            </w:r>
          </w:p>
        </w:tc>
        <w:tc>
          <w:tcPr>
            <w:tcW w:type="dxa" w:w="4176"/>
            <w:vAlign w:val="center"/>
            <w:tcMar>
              <w:top w:w="90" w:type="dxa"/>
              <w:start w:w="100" w:type="dxa"/>
              <w:bottom w:w="90" w:type="dxa"/>
              <w:end w:w="100" w:type="dxa"/>
            </w:tcMar>
          </w:tcPr>
          <w:p>
            <w:pPr>
              <w:spacing w:after="0"/>
            </w:pPr>
            <w:r>
              <w:rPr>
                <w:rFonts w:ascii="Aptos" w:hAnsi="Aptos"/>
                <w:sz w:val="18"/>
              </w:rPr>
              <w:t>Use only where it adds genuine reporting/governance value; not a sensitivity classification.</w:t>
            </w:r>
          </w:p>
        </w:tc>
      </w:tr>
      <w:tr>
        <w:tc>
          <w:tcPr>
            <w:tcW w:type="dxa" w:w="2304"/>
            <w:vAlign w:val="center"/>
            <w:tcMar>
              <w:top w:w="90" w:type="dxa"/>
              <w:start w:w="100" w:type="dxa"/>
              <w:bottom w:w="90" w:type="dxa"/>
              <w:end w:w="100" w:type="dxa"/>
            </w:tcMar>
          </w:tcPr>
          <w:p>
            <w:pPr>
              <w:spacing w:after="0"/>
            </w:pPr>
            <w:r>
              <w:rPr>
                <w:rFonts w:ascii="Aptos" w:hAnsi="Aptos"/>
                <w:sz w:val="18"/>
              </w:rPr>
              <w:t>Control / Process Context</w:t>
            </w:r>
          </w:p>
        </w:tc>
        <w:tc>
          <w:tcPr>
            <w:tcW w:type="dxa" w:w="3888"/>
            <w:vAlign w:val="center"/>
            <w:tcMar>
              <w:top w:w="90" w:type="dxa"/>
              <w:start w:w="100" w:type="dxa"/>
              <w:bottom w:w="90" w:type="dxa"/>
              <w:end w:w="100" w:type="dxa"/>
            </w:tcMar>
          </w:tcPr>
          <w:p>
            <w:pPr>
              <w:spacing w:after="0"/>
            </w:pPr>
            <w:r>
              <w:rPr>
                <w:rFonts w:ascii="Aptos" w:hAnsi="Aptos"/>
                <w:sz w:val="18"/>
              </w:rPr>
              <w:t>Identifies where a Record Name is required, created or used.</w:t>
            </w:r>
          </w:p>
        </w:tc>
        <w:tc>
          <w:tcPr>
            <w:tcW w:type="dxa" w:w="4176"/>
            <w:vAlign w:val="center"/>
            <w:tcMar>
              <w:top w:w="90" w:type="dxa"/>
              <w:start w:w="100" w:type="dxa"/>
              <w:bottom w:w="90" w:type="dxa"/>
              <w:end w:w="100" w:type="dxa"/>
            </w:tcMar>
          </w:tcPr>
          <w:p>
            <w:pPr>
              <w:spacing w:after="0"/>
            </w:pPr>
            <w:r>
              <w:rPr>
                <w:rFonts w:ascii="Aptos" w:hAnsi="Aptos"/>
                <w:sz w:val="18"/>
              </w:rPr>
              <w:t>Anchors context-specific custody, findability and treatment where values differ by process.</w:t>
            </w:r>
          </w:p>
        </w:tc>
      </w:tr>
    </w:tbl>
    <w:p/>
    <w:p>
      <w:pPr>
        <w:pStyle w:val="Heading1"/>
      </w:pPr>
      <w:r>
        <w:t>3.0 RECORD TYPE TAXONOMY RULES</w:t>
      </w:r>
    </w:p>
    <w:p>
      <w:pPr>
        <w:pStyle w:val="ListBullet"/>
      </w:pPr>
      <w:r>
        <w:t>The approved taxonomy is the exhaustive list of Record Types currently authorised for use.</w:t>
      </w:r>
    </w:p>
    <w:p>
      <w:pPr>
        <w:pStyle w:val="ListBullet"/>
      </w:pPr>
      <w:r>
        <w:t>A Record Type describes evidential/business purpose and is reusable across departments and processes.</w:t>
      </w:r>
    </w:p>
    <w:p>
      <w:pPr>
        <w:pStyle w:val="ListBullet"/>
      </w:pPr>
      <w:r>
        <w:t>Record Type definitions include scope and boundary language sufficient to distinguish adjacent types.</w:t>
      </w:r>
    </w:p>
    <w:p>
      <w:pPr>
        <w:pStyle w:val="ListBullet"/>
      </w:pPr>
      <w:r>
        <w:t>A Record Type does not encode owner, custodian, department, platform, location, client, file format, channel, privacy status or retention treatment.</w:t>
      </w:r>
    </w:p>
    <w:p>
      <w:pPr>
        <w:pStyle w:val="ListBullet"/>
      </w:pPr>
      <w:r>
        <w:t>Attachment, PDF, Email, Database Data, Cloud Record, PII Record and similar labels are not valid Record Types merely because they describe packaging, transmission, storage or sensitivity.</w:t>
      </w:r>
    </w:p>
    <w:p>
      <w:pPr>
        <w:pStyle w:val="ListBullet"/>
      </w:pPr>
      <w:r>
        <w:t>A new Record Name normally maps to an existing Record Type. The approved taxonomy is exhaustive for current authorised use, but it is not assumed to be permanently complete; genuine semantic gaps are handled through the controlled extension process rather than by local invention.</w:t>
      </w:r>
    </w:p>
    <w:p>
      <w:pPr>
        <w:pStyle w:val="Heading1"/>
      </w:pPr>
      <w:r>
        <w:t>4.0 RECORD NAME RULES</w:t>
      </w:r>
    </w:p>
    <w:p>
      <w:pPr>
        <w:pStyle w:val="ListBullet"/>
      </w:pPr>
      <w:r>
        <w:t>Use a clear noun phrase describing the organisational evidence, not the software field or storage container.</w:t>
      </w:r>
    </w:p>
    <w:p>
      <w:pPr>
        <w:pStyle w:val="ListBullet"/>
      </w:pPr>
      <w:r>
        <w:t>Prefer the business/evidential meaning used across the organisation; local aliases may be retained as search synonyms but not as competing master names.</w:t>
      </w:r>
    </w:p>
    <w:p>
      <w:pPr>
        <w:pStyle w:val="ListBullet"/>
      </w:pPr>
      <w:r>
        <w:t>One governed Record Name receives one stable Record ID.</w:t>
      </w:r>
    </w:p>
    <w:p>
      <w:pPr>
        <w:pStyle w:val="ListBullet"/>
      </w:pPr>
      <w:r>
        <w:t>Where a legacy inventory row is a dataset, system container or broad information domain, decompose it into the actual governed evidence records before approval.</w:t>
      </w:r>
    </w:p>
    <w:p>
      <w:pPr>
        <w:pStyle w:val="ListBullet"/>
      </w:pPr>
      <w:r>
        <w:t>A new Record Name is registered before it is relied upon as controlled evidence in an issued control.</w:t>
      </w:r>
    </w:p>
    <w:p>
      <w:pPr>
        <w:pStyle w:val="Heading1"/>
      </w:pPr>
      <w:r>
        <w:t>5.0 REQUIRED METADATA</w:t>
      </w:r>
    </w:p>
    <w:tbl>
      <w:tblPr>
        <w:tblW w:type="auto" w:w="0"/>
        <w:jc w:val="center"/>
        <w:tblLayout w:type="fixed"/>
        <w:tblLook w:firstColumn="1" w:firstRow="1" w:lastColumn="0" w:lastRow="0" w:noHBand="0" w:noVBand="1" w:val="04A0"/>
      </w:tblPr>
      <w:tblGrid>
        <w:gridCol w:w="2880"/>
        <w:gridCol w:w="2088"/>
        <w:gridCol w:w="5400"/>
      </w:tblGrid>
      <w:tr>
        <w:tc>
          <w:tcPr>
            <w:tcW w:type="dxa" w:w="3389"/>
            <w:shd w:fill="17365D"/>
            <w:vAlign w:val="center"/>
            <w:tcMar>
              <w:top w:w="90" w:type="dxa"/>
              <w:start w:w="100" w:type="dxa"/>
              <w:bottom w:w="90" w:type="dxa"/>
              <w:end w:w="100" w:type="dxa"/>
            </w:tcMar>
          </w:tcPr>
          <w:p>
            <w:pPr>
              <w:spacing w:after="0"/>
            </w:pPr>
            <w:r>
              <w:rPr>
                <w:rFonts w:ascii="Aptos" w:hAnsi="Aptos"/>
                <w:b/>
                <w:color w:val="FFFFFF"/>
                <w:sz w:val="18"/>
              </w:rPr>
              <w:t>Field</w:t>
            </w:r>
          </w:p>
        </w:tc>
        <w:tc>
          <w:tcPr>
            <w:tcW w:type="dxa" w:w="3389"/>
            <w:shd w:fill="17365D"/>
            <w:vAlign w:val="center"/>
            <w:tcMar>
              <w:top w:w="90" w:type="dxa"/>
              <w:start w:w="100" w:type="dxa"/>
              <w:bottom w:w="90" w:type="dxa"/>
              <w:end w:w="100" w:type="dxa"/>
            </w:tcMar>
          </w:tcPr>
          <w:p>
            <w:pPr>
              <w:spacing w:after="0"/>
            </w:pPr>
            <w:r>
              <w:rPr>
                <w:rFonts w:ascii="Aptos" w:hAnsi="Aptos"/>
                <w:b/>
                <w:color w:val="FFFFFF"/>
                <w:sz w:val="18"/>
              </w:rPr>
              <w:t>Requirement</w:t>
            </w:r>
          </w:p>
        </w:tc>
        <w:tc>
          <w:tcPr>
            <w:tcW w:type="dxa" w:w="3389"/>
            <w:shd w:fill="17365D"/>
            <w:vAlign w:val="center"/>
            <w:tcMar>
              <w:top w:w="90" w:type="dxa"/>
              <w:start w:w="100" w:type="dxa"/>
              <w:bottom w:w="90" w:type="dxa"/>
              <w:end w:w="100" w:type="dxa"/>
            </w:tcMar>
          </w:tcPr>
          <w:p>
            <w:pPr>
              <w:spacing w:after="0"/>
            </w:pPr>
            <w:r>
              <w:rPr>
                <w:rFonts w:ascii="Aptos" w:hAnsi="Aptos"/>
                <w:b/>
                <w:color w:val="FFFFFF"/>
                <w:sz w:val="18"/>
              </w:rPr>
              <w:t>Meaning</w:t>
            </w:r>
          </w:p>
        </w:tc>
      </w:tr>
      <w:tr>
        <w:tc>
          <w:tcPr>
            <w:tcW w:type="dxa" w:w="2880"/>
            <w:vAlign w:val="center"/>
            <w:tcMar>
              <w:top w:w="90" w:type="dxa"/>
              <w:start w:w="100" w:type="dxa"/>
              <w:bottom w:w="90" w:type="dxa"/>
              <w:end w:w="100" w:type="dxa"/>
            </w:tcMar>
          </w:tcPr>
          <w:p>
            <w:pPr>
              <w:spacing w:after="0"/>
            </w:pPr>
            <w:r>
              <w:rPr>
                <w:rFonts w:ascii="Aptos" w:hAnsi="Aptos"/>
                <w:sz w:val="18"/>
              </w:rPr>
              <w:t>Record ID</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Stable identifier for the governed Record Name.</w:t>
            </w:r>
          </w:p>
        </w:tc>
      </w:tr>
      <w:tr>
        <w:tc>
          <w:tcPr>
            <w:tcW w:type="dxa" w:w="2880"/>
            <w:vAlign w:val="center"/>
            <w:tcMar>
              <w:top w:w="90" w:type="dxa"/>
              <w:start w:w="100" w:type="dxa"/>
              <w:bottom w:w="90" w:type="dxa"/>
              <w:end w:w="100" w:type="dxa"/>
            </w:tcMar>
          </w:tcPr>
          <w:p>
            <w:pPr>
              <w:spacing w:after="0"/>
            </w:pPr>
            <w:r>
              <w:rPr>
                <w:rFonts w:ascii="Aptos" w:hAnsi="Aptos"/>
                <w:sz w:val="18"/>
              </w:rPr>
              <w:t>Record Name</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Canonical name of the specific governed evidence object.</w:t>
            </w:r>
          </w:p>
        </w:tc>
      </w:tr>
      <w:tr>
        <w:tc>
          <w:tcPr>
            <w:tcW w:type="dxa" w:w="2880"/>
            <w:vAlign w:val="center"/>
            <w:tcMar>
              <w:top w:w="90" w:type="dxa"/>
              <w:start w:w="100" w:type="dxa"/>
              <w:bottom w:w="90" w:type="dxa"/>
              <w:end w:w="100" w:type="dxa"/>
            </w:tcMar>
          </w:tcPr>
          <w:p>
            <w:pPr>
              <w:spacing w:after="0"/>
            </w:pPr>
            <w:r>
              <w:rPr>
                <w:rFonts w:ascii="Aptos" w:hAnsi="Aptos"/>
                <w:sz w:val="18"/>
              </w:rPr>
              <w:t>Record Type</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Approved semantic type.</w:t>
            </w:r>
          </w:p>
        </w:tc>
      </w:tr>
      <w:tr>
        <w:tc>
          <w:tcPr>
            <w:tcW w:type="dxa" w:w="2880"/>
            <w:vAlign w:val="center"/>
            <w:tcMar>
              <w:top w:w="90" w:type="dxa"/>
              <w:start w:w="100" w:type="dxa"/>
              <w:bottom w:w="90" w:type="dxa"/>
              <w:end w:w="100" w:type="dxa"/>
            </w:tcMar>
          </w:tcPr>
          <w:p>
            <w:pPr>
              <w:spacing w:after="0"/>
            </w:pPr>
            <w:r>
              <w:rPr>
                <w:rFonts w:ascii="Aptos" w:hAnsi="Aptos"/>
                <w:sz w:val="18"/>
              </w:rPr>
              <w:t>Record Type Description</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Controlled definition of the Type.</w:t>
            </w:r>
          </w:p>
        </w:tc>
      </w:tr>
      <w:tr>
        <w:tc>
          <w:tcPr>
            <w:tcW w:type="dxa" w:w="2880"/>
            <w:vAlign w:val="center"/>
            <w:tcMar>
              <w:top w:w="90" w:type="dxa"/>
              <w:start w:w="100" w:type="dxa"/>
              <w:bottom w:w="90" w:type="dxa"/>
              <w:end w:w="100" w:type="dxa"/>
            </w:tcMar>
          </w:tcPr>
          <w:p>
            <w:pPr>
              <w:spacing w:after="0"/>
            </w:pPr>
            <w:r>
              <w:rPr>
                <w:rFonts w:ascii="Aptos" w:hAnsi="Aptos"/>
                <w:sz w:val="18"/>
              </w:rPr>
              <w:t>Record Class</w:t>
            </w:r>
          </w:p>
        </w:tc>
        <w:tc>
          <w:tcPr>
            <w:tcW w:type="dxa" w:w="2088"/>
            <w:vAlign w:val="center"/>
            <w:tcMar>
              <w:top w:w="90" w:type="dxa"/>
              <w:start w:w="100" w:type="dxa"/>
              <w:bottom w:w="90" w:type="dxa"/>
              <w:end w:w="100" w:type="dxa"/>
            </w:tcMar>
          </w:tcPr>
          <w:p>
            <w:pPr>
              <w:spacing w:after="0"/>
            </w:pPr>
            <w:r>
              <w:rPr>
                <w:rFonts w:ascii="Aptos" w:hAnsi="Aptos"/>
                <w:sz w:val="18"/>
              </w:rPr>
              <w:t>Optional</w:t>
            </w:r>
          </w:p>
        </w:tc>
        <w:tc>
          <w:tcPr>
            <w:tcW w:type="dxa" w:w="5400"/>
            <w:vAlign w:val="center"/>
            <w:tcMar>
              <w:top w:w="90" w:type="dxa"/>
              <w:start w:w="100" w:type="dxa"/>
              <w:bottom w:w="90" w:type="dxa"/>
              <w:end w:w="100" w:type="dxa"/>
            </w:tcMar>
          </w:tcPr>
          <w:p>
            <w:pPr>
              <w:spacing w:after="0"/>
            </w:pPr>
            <w:r>
              <w:rPr>
                <w:rFonts w:ascii="Aptos" w:hAnsi="Aptos"/>
                <w:sz w:val="18"/>
              </w:rPr>
              <w:t>Higher-level grouping only where useful.</w:t>
            </w:r>
          </w:p>
        </w:tc>
      </w:tr>
      <w:tr>
        <w:tc>
          <w:tcPr>
            <w:tcW w:type="dxa" w:w="2880"/>
            <w:vAlign w:val="center"/>
            <w:tcMar>
              <w:top w:w="90" w:type="dxa"/>
              <w:start w:w="100" w:type="dxa"/>
              <w:bottom w:w="90" w:type="dxa"/>
              <w:end w:w="100" w:type="dxa"/>
            </w:tcMar>
          </w:tcPr>
          <w:p>
            <w:pPr>
              <w:spacing w:after="0"/>
            </w:pPr>
            <w:r>
              <w:rPr>
                <w:rFonts w:ascii="Aptos" w:hAnsi="Aptos"/>
                <w:sz w:val="18"/>
              </w:rPr>
              <w:t>Source Control / Process</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Where the record is required, created or used.</w:t>
            </w:r>
          </w:p>
        </w:tc>
      </w:tr>
      <w:tr>
        <w:tc>
          <w:tcPr>
            <w:tcW w:type="dxa" w:w="2880"/>
            <w:vAlign w:val="center"/>
            <w:tcMar>
              <w:top w:w="90" w:type="dxa"/>
              <w:start w:w="100" w:type="dxa"/>
              <w:bottom w:w="90" w:type="dxa"/>
              <w:end w:w="100" w:type="dxa"/>
            </w:tcMar>
          </w:tcPr>
          <w:p>
            <w:pPr>
              <w:spacing w:after="0"/>
            </w:pPr>
            <w:r>
              <w:rPr>
                <w:rFonts w:ascii="Aptos" w:hAnsi="Aptos"/>
                <w:sz w:val="18"/>
              </w:rPr>
              <w:t>Custodian Role</w:t>
            </w:r>
          </w:p>
        </w:tc>
        <w:tc>
          <w:tcPr>
            <w:tcW w:type="dxa" w:w="2088"/>
            <w:vAlign w:val="center"/>
            <w:tcMar>
              <w:top w:w="90" w:type="dxa"/>
              <w:start w:w="100" w:type="dxa"/>
              <w:bottom w:w="90" w:type="dxa"/>
              <w:end w:w="100" w:type="dxa"/>
            </w:tcMar>
          </w:tcPr>
          <w:p>
            <w:pPr>
              <w:spacing w:after="0"/>
            </w:pPr>
            <w:r>
              <w:rPr>
                <w:rFonts w:ascii="Aptos" w:hAnsi="Aptos"/>
                <w:sz w:val="18"/>
              </w:rPr>
              <w:t>Contextual / required where custody exists</w:t>
            </w:r>
          </w:p>
        </w:tc>
        <w:tc>
          <w:tcPr>
            <w:tcW w:type="dxa" w:w="5400"/>
            <w:vAlign w:val="center"/>
            <w:tcMar>
              <w:top w:w="90" w:type="dxa"/>
              <w:start w:w="100" w:type="dxa"/>
              <w:bottom w:w="90" w:type="dxa"/>
              <w:end w:w="100" w:type="dxa"/>
            </w:tcMar>
          </w:tcPr>
          <w:p>
            <w:pPr>
              <w:spacing w:after="0"/>
            </w:pPr>
            <w:r>
              <w:rPr>
                <w:rFonts w:ascii="Aptos" w:hAnsi="Aptos"/>
                <w:sz w:val="18"/>
              </w:rPr>
              <w:t>Role responsible for maintaining the authoritative record in that process/control context; never inferred globally from Type.</w:t>
            </w:r>
          </w:p>
        </w:tc>
      </w:tr>
      <w:tr>
        <w:tc>
          <w:tcPr>
            <w:tcW w:type="dxa" w:w="2880"/>
            <w:vAlign w:val="center"/>
            <w:tcMar>
              <w:top w:w="90" w:type="dxa"/>
              <w:start w:w="100" w:type="dxa"/>
              <w:bottom w:w="90" w:type="dxa"/>
              <w:end w:w="100" w:type="dxa"/>
            </w:tcMar>
          </w:tcPr>
          <w:p>
            <w:pPr>
              <w:spacing w:after="0"/>
            </w:pPr>
            <w:r>
              <w:rPr>
                <w:rFonts w:ascii="Aptos" w:hAnsi="Aptos"/>
                <w:sz w:val="18"/>
              </w:rPr>
              <w:t>Authoritative Location / Source System</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Authoritative home/source from which the record is retrieved; may be context-specific.</w:t>
            </w:r>
          </w:p>
        </w:tc>
      </w:tr>
      <w:tr>
        <w:tc>
          <w:tcPr>
            <w:tcW w:type="dxa" w:w="2880"/>
            <w:vAlign w:val="center"/>
            <w:tcMar>
              <w:top w:w="90" w:type="dxa"/>
              <w:start w:w="100" w:type="dxa"/>
              <w:bottom w:w="90" w:type="dxa"/>
              <w:end w:w="100" w:type="dxa"/>
            </w:tcMar>
          </w:tcPr>
          <w:p>
            <w:pPr>
              <w:spacing w:after="0"/>
            </w:pPr>
            <w:r>
              <w:rPr>
                <w:rFonts w:ascii="Aptos" w:hAnsi="Aptos"/>
                <w:sz w:val="18"/>
              </w:rPr>
              <w:t>Retrieval Instruction</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Practical method/path for locating the authoritative record.</w:t>
            </w:r>
          </w:p>
        </w:tc>
      </w:tr>
      <w:tr>
        <w:tc>
          <w:tcPr>
            <w:tcW w:type="dxa" w:w="2880"/>
            <w:vAlign w:val="center"/>
            <w:tcMar>
              <w:top w:w="90" w:type="dxa"/>
              <w:start w:w="100" w:type="dxa"/>
              <w:bottom w:w="90" w:type="dxa"/>
              <w:end w:w="100" w:type="dxa"/>
            </w:tcMar>
          </w:tcPr>
          <w:p>
            <w:pPr>
              <w:spacing w:after="0"/>
            </w:pPr>
            <w:r>
              <w:rPr>
                <w:rFonts w:ascii="Aptos" w:hAnsi="Aptos"/>
                <w:sz w:val="18"/>
              </w:rPr>
              <w:t>Information Classification</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Reference to approved sensitivity classification.</w:t>
            </w:r>
          </w:p>
        </w:tc>
      </w:tr>
      <w:tr>
        <w:tc>
          <w:tcPr>
            <w:tcW w:type="dxa" w:w="2880"/>
            <w:vAlign w:val="center"/>
            <w:tcMar>
              <w:top w:w="90" w:type="dxa"/>
              <w:start w:w="100" w:type="dxa"/>
              <w:bottom w:w="90" w:type="dxa"/>
              <w:end w:w="100" w:type="dxa"/>
            </w:tcMar>
          </w:tcPr>
          <w:p>
            <w:pPr>
              <w:spacing w:after="0"/>
            </w:pPr>
            <w:r>
              <w:rPr>
                <w:rFonts w:ascii="Aptos" w:hAnsi="Aptos"/>
                <w:sz w:val="18"/>
              </w:rPr>
              <w:t>Personal Data Status</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Yes / No / Conditional; detailed privacy attributes remain in privacy authority.</w:t>
            </w:r>
          </w:p>
        </w:tc>
      </w:tr>
      <w:tr>
        <w:tc>
          <w:tcPr>
            <w:tcW w:type="dxa" w:w="2880"/>
            <w:vAlign w:val="center"/>
            <w:tcMar>
              <w:top w:w="90" w:type="dxa"/>
              <w:start w:w="100" w:type="dxa"/>
              <w:bottom w:w="90" w:type="dxa"/>
              <w:end w:w="100" w:type="dxa"/>
            </w:tcMar>
          </w:tcPr>
          <w:p>
            <w:pPr>
              <w:spacing w:after="0"/>
            </w:pPr>
            <w:r>
              <w:rPr>
                <w:rFonts w:ascii="Aptos" w:hAnsi="Aptos"/>
                <w:sz w:val="18"/>
              </w:rPr>
              <w:t>Retention Rule / Period</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Approved duration or retention rule.</w:t>
            </w:r>
          </w:p>
        </w:tc>
      </w:tr>
      <w:tr>
        <w:tc>
          <w:tcPr>
            <w:tcW w:type="dxa" w:w="2880"/>
            <w:vAlign w:val="center"/>
            <w:tcMar>
              <w:top w:w="90" w:type="dxa"/>
              <w:start w:w="100" w:type="dxa"/>
              <w:bottom w:w="90" w:type="dxa"/>
              <w:end w:w="100" w:type="dxa"/>
            </w:tcMar>
          </w:tcPr>
          <w:p>
            <w:pPr>
              <w:spacing w:after="0"/>
            </w:pPr>
            <w:r>
              <w:rPr>
                <w:rFonts w:ascii="Aptos" w:hAnsi="Aptos"/>
                <w:sz w:val="18"/>
              </w:rPr>
              <w:t>Retention Trigger</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Event from which retention is calculated.</w:t>
            </w:r>
          </w:p>
        </w:tc>
      </w:tr>
      <w:tr>
        <w:tc>
          <w:tcPr>
            <w:tcW w:type="dxa" w:w="2880"/>
            <w:vAlign w:val="center"/>
            <w:tcMar>
              <w:top w:w="90" w:type="dxa"/>
              <w:start w:w="100" w:type="dxa"/>
              <w:bottom w:w="90" w:type="dxa"/>
              <w:end w:w="100" w:type="dxa"/>
            </w:tcMar>
          </w:tcPr>
          <w:p>
            <w:pPr>
              <w:spacing w:after="0"/>
            </w:pPr>
            <w:r>
              <w:rPr>
                <w:rFonts w:ascii="Aptos" w:hAnsi="Aptos"/>
                <w:sz w:val="18"/>
              </w:rPr>
              <w:t>Retention Authority</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Legal, regulatory, contractual, policy or approved business source.</w:t>
            </w:r>
          </w:p>
        </w:tc>
      </w:tr>
      <w:tr>
        <w:tc>
          <w:tcPr>
            <w:tcW w:type="dxa" w:w="2880"/>
            <w:vAlign w:val="center"/>
            <w:tcMar>
              <w:top w:w="90" w:type="dxa"/>
              <w:start w:w="100" w:type="dxa"/>
              <w:bottom w:w="90" w:type="dxa"/>
              <w:end w:w="100" w:type="dxa"/>
            </w:tcMar>
          </w:tcPr>
          <w:p>
            <w:pPr>
              <w:spacing w:after="0"/>
            </w:pPr>
            <w:r>
              <w:rPr>
                <w:rFonts w:ascii="Aptos" w:hAnsi="Aptos"/>
                <w:sz w:val="18"/>
              </w:rPr>
              <w:t>Disposition Treatment</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Approved end-of-life outcome.</w:t>
            </w:r>
          </w:p>
        </w:tc>
      </w:tr>
      <w:tr>
        <w:tc>
          <w:tcPr>
            <w:tcW w:type="dxa" w:w="2880"/>
            <w:vAlign w:val="center"/>
            <w:tcMar>
              <w:top w:w="90" w:type="dxa"/>
              <w:start w:w="100" w:type="dxa"/>
              <w:bottom w:w="90" w:type="dxa"/>
              <w:end w:w="100" w:type="dxa"/>
            </w:tcMar>
          </w:tcPr>
          <w:p>
            <w:pPr>
              <w:spacing w:after="0"/>
            </w:pPr>
            <w:r>
              <w:rPr>
                <w:rFonts w:ascii="Aptos" w:hAnsi="Aptos"/>
                <w:sz w:val="18"/>
              </w:rPr>
              <w:t>Destruction Method</w:t>
            </w:r>
          </w:p>
        </w:tc>
        <w:tc>
          <w:tcPr>
            <w:tcW w:type="dxa" w:w="2088"/>
            <w:vAlign w:val="center"/>
            <w:tcMar>
              <w:top w:w="90" w:type="dxa"/>
              <w:start w:w="100" w:type="dxa"/>
              <w:bottom w:w="90" w:type="dxa"/>
              <w:end w:w="100" w:type="dxa"/>
            </w:tcMar>
          </w:tcPr>
          <w:p>
            <w:pPr>
              <w:spacing w:after="0"/>
            </w:pPr>
            <w:r>
              <w:rPr>
                <w:rFonts w:ascii="Aptos" w:hAnsi="Aptos"/>
                <w:sz w:val="18"/>
              </w:rPr>
              <w:t>Conditional</w:t>
            </w:r>
          </w:p>
        </w:tc>
        <w:tc>
          <w:tcPr>
            <w:tcW w:type="dxa" w:w="5400"/>
            <w:vAlign w:val="center"/>
            <w:tcMar>
              <w:top w:w="90" w:type="dxa"/>
              <w:start w:w="100" w:type="dxa"/>
              <w:bottom w:w="90" w:type="dxa"/>
              <w:end w:w="100" w:type="dxa"/>
            </w:tcMar>
          </w:tcPr>
          <w:p>
            <w:pPr>
              <w:spacing w:after="0"/>
            </w:pPr>
            <w:r>
              <w:rPr>
                <w:rFonts w:ascii="Aptos" w:hAnsi="Aptos"/>
                <w:sz w:val="18"/>
              </w:rPr>
              <w:t>Approved manner of destruction where destruction is the treatment.</w:t>
            </w:r>
          </w:p>
        </w:tc>
      </w:tr>
      <w:tr>
        <w:tc>
          <w:tcPr>
            <w:tcW w:type="dxa" w:w="2880"/>
            <w:vAlign w:val="center"/>
            <w:tcMar>
              <w:top w:w="90" w:type="dxa"/>
              <w:start w:w="100" w:type="dxa"/>
              <w:bottom w:w="90" w:type="dxa"/>
              <w:end w:w="100" w:type="dxa"/>
            </w:tcMar>
          </w:tcPr>
          <w:p>
            <w:pPr>
              <w:spacing w:after="0"/>
            </w:pPr>
            <w:r>
              <w:rPr>
                <w:rFonts w:ascii="Aptos" w:hAnsi="Aptos"/>
                <w:sz w:val="18"/>
              </w:rPr>
              <w:t>Destruction Evidence</w:t>
            </w:r>
          </w:p>
        </w:tc>
        <w:tc>
          <w:tcPr>
            <w:tcW w:type="dxa" w:w="2088"/>
            <w:vAlign w:val="center"/>
            <w:tcMar>
              <w:top w:w="90" w:type="dxa"/>
              <w:start w:w="100" w:type="dxa"/>
              <w:bottom w:w="90" w:type="dxa"/>
              <w:end w:w="100" w:type="dxa"/>
            </w:tcMar>
          </w:tcPr>
          <w:p>
            <w:pPr>
              <w:spacing w:after="0"/>
            </w:pPr>
            <w:r>
              <w:rPr>
                <w:rFonts w:ascii="Aptos" w:hAnsi="Aptos"/>
                <w:sz w:val="18"/>
              </w:rPr>
              <w:t>Conditional</w:t>
            </w:r>
          </w:p>
        </w:tc>
        <w:tc>
          <w:tcPr>
            <w:tcW w:type="dxa" w:w="5400"/>
            <w:vAlign w:val="center"/>
            <w:tcMar>
              <w:top w:w="90" w:type="dxa"/>
              <w:start w:w="100" w:type="dxa"/>
              <w:bottom w:w="90" w:type="dxa"/>
              <w:end w:w="100" w:type="dxa"/>
            </w:tcMar>
          </w:tcPr>
          <w:p>
            <w:pPr>
              <w:spacing w:after="0"/>
            </w:pPr>
            <w:r>
              <w:rPr>
                <w:rFonts w:ascii="Aptos" w:hAnsi="Aptos"/>
                <w:sz w:val="18"/>
              </w:rPr>
              <w:t>Evidence required only where the governing control demands it.</w:t>
            </w:r>
          </w:p>
        </w:tc>
      </w:tr>
      <w:tr>
        <w:tc>
          <w:tcPr>
            <w:tcW w:type="dxa" w:w="2880"/>
            <w:vAlign w:val="center"/>
            <w:tcMar>
              <w:top w:w="90" w:type="dxa"/>
              <w:start w:w="100" w:type="dxa"/>
              <w:bottom w:w="90" w:type="dxa"/>
              <w:end w:w="100" w:type="dxa"/>
            </w:tcMar>
          </w:tcPr>
          <w:p>
            <w:pPr>
              <w:spacing w:after="0"/>
            </w:pPr>
            <w:r>
              <w:rPr>
                <w:rFonts w:ascii="Aptos" w:hAnsi="Aptos"/>
                <w:sz w:val="18"/>
              </w:rPr>
              <w:t>Hold / Suspension Rule</w:t>
            </w:r>
          </w:p>
        </w:tc>
        <w:tc>
          <w:tcPr>
            <w:tcW w:type="dxa" w:w="2088"/>
            <w:vAlign w:val="center"/>
            <w:tcMar>
              <w:top w:w="90" w:type="dxa"/>
              <w:start w:w="100" w:type="dxa"/>
              <w:bottom w:w="90" w:type="dxa"/>
              <w:end w:w="100" w:type="dxa"/>
            </w:tcMar>
          </w:tcPr>
          <w:p>
            <w:pPr>
              <w:spacing w:after="0"/>
            </w:pPr>
            <w:r>
              <w:rPr>
                <w:rFonts w:ascii="Aptos" w:hAnsi="Aptos"/>
                <w:sz w:val="18"/>
              </w:rPr>
              <w:t>Conditional</w:t>
            </w:r>
          </w:p>
        </w:tc>
        <w:tc>
          <w:tcPr>
            <w:tcW w:type="dxa" w:w="5400"/>
            <w:vAlign w:val="center"/>
            <w:tcMar>
              <w:top w:w="90" w:type="dxa"/>
              <w:start w:w="100" w:type="dxa"/>
              <w:bottom w:w="90" w:type="dxa"/>
              <w:end w:w="100" w:type="dxa"/>
            </w:tcMar>
          </w:tcPr>
          <w:p>
            <w:pPr>
              <w:spacing w:after="0"/>
            </w:pPr>
            <w:r>
              <w:rPr>
                <w:rFonts w:ascii="Aptos" w:hAnsi="Aptos"/>
                <w:sz w:val="18"/>
              </w:rPr>
              <w:t>Legal, investigation, audit or other preservation condition that suspends disposition.</w:t>
            </w:r>
          </w:p>
        </w:tc>
      </w:tr>
      <w:tr>
        <w:tc>
          <w:tcPr>
            <w:tcW w:type="dxa" w:w="2880"/>
            <w:vAlign w:val="center"/>
            <w:tcMar>
              <w:top w:w="90" w:type="dxa"/>
              <w:start w:w="100" w:type="dxa"/>
              <w:bottom w:w="90" w:type="dxa"/>
              <w:end w:w="100" w:type="dxa"/>
            </w:tcMar>
          </w:tcPr>
          <w:p>
            <w:pPr>
              <w:spacing w:after="0"/>
            </w:pPr>
            <w:r>
              <w:rPr>
                <w:rFonts w:ascii="Aptos" w:hAnsi="Aptos"/>
                <w:sz w:val="18"/>
              </w:rPr>
              <w:t>Backup / Archive Treatment</w:t>
            </w:r>
          </w:p>
        </w:tc>
        <w:tc>
          <w:tcPr>
            <w:tcW w:type="dxa" w:w="2088"/>
            <w:vAlign w:val="center"/>
            <w:tcMar>
              <w:top w:w="90" w:type="dxa"/>
              <w:start w:w="100" w:type="dxa"/>
              <w:bottom w:w="90" w:type="dxa"/>
              <w:end w:w="100" w:type="dxa"/>
            </w:tcMar>
          </w:tcPr>
          <w:p>
            <w:pPr>
              <w:spacing w:after="0"/>
            </w:pPr>
            <w:r>
              <w:rPr>
                <w:rFonts w:ascii="Aptos" w:hAnsi="Aptos"/>
                <w:sz w:val="18"/>
              </w:rPr>
              <w:t>Conditional</w:t>
            </w:r>
          </w:p>
        </w:tc>
        <w:tc>
          <w:tcPr>
            <w:tcW w:type="dxa" w:w="5400"/>
            <w:vAlign w:val="center"/>
            <w:tcMar>
              <w:top w:w="90" w:type="dxa"/>
              <w:start w:w="100" w:type="dxa"/>
              <w:bottom w:w="90" w:type="dxa"/>
              <w:end w:w="100" w:type="dxa"/>
            </w:tcMar>
          </w:tcPr>
          <w:p>
            <w:pPr>
              <w:spacing w:after="0"/>
            </w:pPr>
            <w:r>
              <w:rPr>
                <w:rFonts w:ascii="Aptos" w:hAnsi="Aptos"/>
                <w:sz w:val="18"/>
              </w:rPr>
              <w:t>Reference to the applicable lifecycle rule where needed.</w:t>
            </w:r>
          </w:p>
        </w:tc>
      </w:tr>
      <w:tr>
        <w:tc>
          <w:tcPr>
            <w:tcW w:type="dxa" w:w="2880"/>
            <w:vAlign w:val="center"/>
            <w:tcMar>
              <w:top w:w="90" w:type="dxa"/>
              <w:start w:w="100" w:type="dxa"/>
              <w:bottom w:w="90" w:type="dxa"/>
              <w:end w:w="100" w:type="dxa"/>
            </w:tcMar>
          </w:tcPr>
          <w:p>
            <w:pPr>
              <w:spacing w:after="0"/>
            </w:pPr>
            <w:r>
              <w:rPr>
                <w:rFonts w:ascii="Aptos" w:hAnsi="Aptos"/>
                <w:sz w:val="18"/>
              </w:rPr>
              <w:t>Specialist Reference</w:t>
            </w:r>
          </w:p>
        </w:tc>
        <w:tc>
          <w:tcPr>
            <w:tcW w:type="dxa" w:w="2088"/>
            <w:vAlign w:val="center"/>
            <w:tcMar>
              <w:top w:w="90" w:type="dxa"/>
              <w:start w:w="100" w:type="dxa"/>
              <w:bottom w:w="90" w:type="dxa"/>
              <w:end w:w="100" w:type="dxa"/>
            </w:tcMar>
          </w:tcPr>
          <w:p>
            <w:pPr>
              <w:spacing w:after="0"/>
            </w:pPr>
            <w:r>
              <w:rPr>
                <w:rFonts w:ascii="Aptos" w:hAnsi="Aptos"/>
                <w:sz w:val="18"/>
              </w:rPr>
              <w:t>Conditional</w:t>
            </w:r>
          </w:p>
        </w:tc>
        <w:tc>
          <w:tcPr>
            <w:tcW w:type="dxa" w:w="5400"/>
            <w:vAlign w:val="center"/>
            <w:tcMar>
              <w:top w:w="90" w:type="dxa"/>
              <w:start w:w="100" w:type="dxa"/>
              <w:bottom w:w="90" w:type="dxa"/>
              <w:end w:w="100" w:type="dxa"/>
            </w:tcMar>
          </w:tcPr>
          <w:p>
            <w:pPr>
              <w:spacing w:after="0"/>
            </w:pPr>
            <w:r>
              <w:rPr>
                <w:rFonts w:ascii="Aptos" w:hAnsi="Aptos"/>
                <w:sz w:val="18"/>
              </w:rPr>
              <w:t>ROPA, SRML, Risk, incident or other specialist identifier where relevant.</w:t>
            </w:r>
          </w:p>
        </w:tc>
      </w:tr>
      <w:tr>
        <w:tc>
          <w:tcPr>
            <w:tcW w:type="dxa" w:w="2880"/>
            <w:vAlign w:val="center"/>
            <w:tcMar>
              <w:top w:w="90" w:type="dxa"/>
              <w:start w:w="100" w:type="dxa"/>
              <w:bottom w:w="90" w:type="dxa"/>
              <w:end w:w="100" w:type="dxa"/>
            </w:tcMar>
          </w:tcPr>
          <w:p>
            <w:pPr>
              <w:spacing w:after="0"/>
            </w:pPr>
            <w:r>
              <w:rPr>
                <w:rFonts w:ascii="Aptos" w:hAnsi="Aptos"/>
                <w:sz w:val="18"/>
              </w:rPr>
              <w:t>Status / Effective / Review</w:t>
            </w:r>
          </w:p>
        </w:tc>
        <w:tc>
          <w:tcPr>
            <w:tcW w:type="dxa" w:w="2088"/>
            <w:vAlign w:val="center"/>
            <w:tcMar>
              <w:top w:w="90" w:type="dxa"/>
              <w:start w:w="100" w:type="dxa"/>
              <w:bottom w:w="90" w:type="dxa"/>
              <w:end w:w="100" w:type="dxa"/>
            </w:tcMar>
          </w:tcPr>
          <w:p>
            <w:pPr>
              <w:spacing w:after="0"/>
            </w:pPr>
            <w:r>
              <w:rPr>
                <w:rFonts w:ascii="Aptos" w:hAnsi="Aptos"/>
                <w:sz w:val="18"/>
              </w:rPr>
              <w:t>Required</w:t>
            </w:r>
          </w:p>
        </w:tc>
        <w:tc>
          <w:tcPr>
            <w:tcW w:type="dxa" w:w="5400"/>
            <w:vAlign w:val="center"/>
            <w:tcMar>
              <w:top w:w="90" w:type="dxa"/>
              <w:start w:w="100" w:type="dxa"/>
              <w:bottom w:w="90" w:type="dxa"/>
              <w:end w:w="100" w:type="dxa"/>
            </w:tcMar>
          </w:tcPr>
          <w:p>
            <w:pPr>
              <w:spacing w:after="0"/>
            </w:pPr>
            <w:r>
              <w:rPr>
                <w:rFonts w:ascii="Aptos" w:hAnsi="Aptos"/>
                <w:sz w:val="18"/>
              </w:rPr>
              <w:t>Approval state and review controls for the metadata.</w:t>
            </w:r>
          </w:p>
        </w:tc>
      </w:tr>
    </w:tbl>
    <w:p/>
    <w:p>
      <w:pPr>
        <w:pStyle w:val="Heading1"/>
      </w:pPr>
      <w:r>
        <w:t>6.0 REFERENCE RULES</w:t>
      </w:r>
    </w:p>
    <w:p>
      <w:pPr>
        <w:pStyle w:val="ListBullet"/>
      </w:pPr>
      <w:r>
        <w:t>Information Classification values come from the approved classification authority.</w:t>
      </w:r>
    </w:p>
    <w:p>
      <w:pPr>
        <w:pStyle w:val="ListBullet"/>
      </w:pPr>
      <w:r>
        <w:t>Personal Data status is a common indicator only; detailed privacy processing attributes remain in ROPA/Data Protection controls.</w:t>
      </w:r>
    </w:p>
    <w:p>
      <w:pPr>
        <w:pStyle w:val="ListBullet"/>
      </w:pPr>
      <w:r>
        <w:t>Roles use canonical organisational titles; individual names are not master metadata.</w:t>
      </w:r>
    </w:p>
    <w:p>
      <w:pPr>
        <w:pStyle w:val="ListBullet"/>
      </w:pPr>
      <w:r>
        <w:t>Retention Authority records the actual source. Best practice is used only where formally approved as a business rule and clearly labelled as such.</w:t>
      </w:r>
    </w:p>
    <w:p>
      <w:pPr>
        <w:pStyle w:val="ListBullet"/>
      </w:pPr>
      <w:r>
        <w:t>Authoritative locations use controlled repository/system names and practical retrieval paths. Personal drives, inboxes and uncontrolled local folders are not authoritative masters unless an approved exception explicitly says so.</w:t>
      </w:r>
    </w:p>
    <w:p>
      <w:pPr>
        <w:pStyle w:val="ListBullet"/>
      </w:pPr>
      <w:r>
        <w:t>Specialist masters are referenced by identifier instead of duplicated into the records model.</w:t>
      </w:r>
    </w:p>
    <w:p>
      <w:pPr>
        <w:pStyle w:val="Heading1"/>
      </w:pPr>
      <w:r>
        <w:t>7.0 FINDABILITY METADATA</w:t>
      </w:r>
    </w:p>
    <w:p>
      <w:r>
        <w:t>Findability is maintained against the Record Name in context. It comprises Authoritative Location / Source System, Retrieval Instruction, Custodian Role where custody exists, and any verification requirement necessary to confirm continuing accessibility.</w:t>
      </w:r>
    </w:p>
    <w:p>
      <w:r>
        <w:t>A change of repository may change findability metadata without changing the Record Type. A change of custodian may change process-context metadata without changing the Record Type or Record Name.</w:t>
      </w:r>
    </w:p>
    <w:p>
      <w:pPr>
        <w:pStyle w:val="Heading1"/>
      </w:pPr>
      <w:r>
        <w:t>8.0 RETENTION &amp; DISPOSITION METADATA</w:t>
      </w:r>
    </w:p>
    <w:p>
      <w:pPr>
        <w:pStyle w:val="ListBullet"/>
      </w:pPr>
      <w:r>
        <w:t>Retention Rule and Trigger are recorded separately.</w:t>
      </w:r>
    </w:p>
    <w:p>
      <w:pPr>
        <w:pStyle w:val="ListBullet"/>
      </w:pPr>
      <w:r>
        <w:t>Retention Authority is explicit and traceable.</w:t>
      </w:r>
    </w:p>
    <w:p>
      <w:pPr>
        <w:pStyle w:val="ListBullet"/>
      </w:pPr>
      <w:r>
        <w:t>A minimum period is not converted automatically into a destruction date.</w:t>
      </w:r>
    </w:p>
    <w:p>
      <w:pPr>
        <w:pStyle w:val="ListBullet"/>
      </w:pPr>
      <w:r>
        <w:t>Disposition is a Record Name/context attribute and may be destroy, delete, anonymise, archive, transfer, review or another approved treatment.</w:t>
      </w:r>
    </w:p>
    <w:p>
      <w:pPr>
        <w:pStyle w:val="ListBullet"/>
      </w:pPr>
      <w:r>
        <w:t>Destruction Method is defined only where destruction is approved; it reflects the medium and applicable security/lifecycle requirements.</w:t>
      </w:r>
    </w:p>
    <w:p>
      <w:pPr>
        <w:pStyle w:val="ListBullet"/>
      </w:pPr>
      <w:r>
        <w:t>Destruction Evidence is proportionate; certificate-per-record is not the default.</w:t>
      </w:r>
    </w:p>
    <w:p>
      <w:pPr>
        <w:pStyle w:val="ListBullet"/>
      </w:pPr>
      <w:r>
        <w:t>Legal hold or other preservation requirements suspend normal disposition until released.</w:t>
      </w:r>
    </w:p>
    <w:p>
      <w:pPr>
        <w:pStyle w:val="ListBullet"/>
      </w:pPr>
      <w:r>
        <w:t>Backup and archive handling is referenced to the applicable lifecycle/platform rule rather than invented locally.</w:t>
      </w:r>
    </w:p>
    <w:p>
      <w:pPr>
        <w:pStyle w:val="Heading1"/>
      </w:pPr>
      <w:r>
        <w:t>9.0 STANDARD CONTROLLED VIEWS</w:t>
      </w:r>
    </w:p>
    <w:tbl>
      <w:tblPr>
        <w:tblW w:type="auto" w:w="0"/>
        <w:jc w:val="center"/>
        <w:tblLayout w:type="fixed"/>
        <w:tblLook w:firstColumn="1" w:firstRow="1" w:lastColumn="0" w:lastRow="0" w:noHBand="0" w:noVBand="1" w:val="04A0"/>
      </w:tblPr>
      <w:tblGrid>
        <w:gridCol w:w="3168"/>
        <w:gridCol w:w="7200"/>
      </w:tblGrid>
      <w:tr>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View</w:t>
            </w:r>
          </w:p>
        </w:tc>
        <w:tc>
          <w:tcPr>
            <w:tcW w:type="dxa" w:w="5083"/>
            <w:shd w:fill="17365D"/>
            <w:vAlign w:val="center"/>
            <w:tcMar>
              <w:top w:w="90" w:type="dxa"/>
              <w:start w:w="100" w:type="dxa"/>
              <w:bottom w:w="90" w:type="dxa"/>
              <w:end w:w="100" w:type="dxa"/>
            </w:tcMar>
          </w:tcPr>
          <w:p>
            <w:pPr>
              <w:spacing w:after="0"/>
            </w:pPr>
            <w:r>
              <w:rPr>
                <w:rFonts w:ascii="Aptos" w:hAnsi="Aptos"/>
                <w:b/>
                <w:color w:val="FFFFFF"/>
                <w:sz w:val="18"/>
              </w:rPr>
              <w:t>Minimum fields</w:t>
            </w:r>
          </w:p>
        </w:tc>
      </w:tr>
      <w:tr>
        <w:tc>
          <w:tcPr>
            <w:tcW w:type="dxa" w:w="3168"/>
            <w:vAlign w:val="center"/>
            <w:tcMar>
              <w:top w:w="90" w:type="dxa"/>
              <w:start w:w="100" w:type="dxa"/>
              <w:bottom w:w="90" w:type="dxa"/>
              <w:end w:w="100" w:type="dxa"/>
            </w:tcMar>
          </w:tcPr>
          <w:p>
            <w:pPr>
              <w:spacing w:after="0"/>
            </w:pPr>
            <w:r>
              <w:rPr>
                <w:rFonts w:ascii="Aptos" w:hAnsi="Aptos"/>
                <w:sz w:val="18"/>
              </w:rPr>
              <w:t>Enterprise Records Catalogue</w:t>
            </w:r>
          </w:p>
        </w:tc>
        <w:tc>
          <w:tcPr>
            <w:tcW w:type="dxa" w:w="7200"/>
            <w:vAlign w:val="center"/>
            <w:tcMar>
              <w:top w:w="90" w:type="dxa"/>
              <w:start w:w="100" w:type="dxa"/>
              <w:bottom w:w="90" w:type="dxa"/>
              <w:end w:w="100" w:type="dxa"/>
            </w:tcMar>
          </w:tcPr>
          <w:p>
            <w:pPr>
              <w:spacing w:after="0"/>
            </w:pPr>
            <w:r>
              <w:rPr>
                <w:rFonts w:ascii="Aptos" w:hAnsi="Aptos"/>
                <w:sz w:val="18"/>
              </w:rPr>
              <w:t>Record ID; Record Name; Record Type; Type Description; optional Record Class; Source Control/Process; core governance references; status/review.</w:t>
            </w:r>
          </w:p>
        </w:tc>
      </w:tr>
      <w:tr>
        <w:tc>
          <w:tcPr>
            <w:tcW w:type="dxa" w:w="3168"/>
            <w:vAlign w:val="center"/>
            <w:tcMar>
              <w:top w:w="90" w:type="dxa"/>
              <w:start w:w="100" w:type="dxa"/>
              <w:bottom w:w="90" w:type="dxa"/>
              <w:end w:w="100" w:type="dxa"/>
            </w:tcMar>
          </w:tcPr>
          <w:p>
            <w:pPr>
              <w:spacing w:after="0"/>
            </w:pPr>
            <w:r>
              <w:rPr>
                <w:rFonts w:ascii="Aptos" w:hAnsi="Aptos"/>
                <w:sz w:val="18"/>
              </w:rPr>
              <w:t>Findability View</w:t>
            </w:r>
          </w:p>
        </w:tc>
        <w:tc>
          <w:tcPr>
            <w:tcW w:type="dxa" w:w="7200"/>
            <w:vAlign w:val="center"/>
            <w:tcMar>
              <w:top w:w="90" w:type="dxa"/>
              <w:start w:w="100" w:type="dxa"/>
              <w:bottom w:w="90" w:type="dxa"/>
              <w:end w:w="100" w:type="dxa"/>
            </w:tcMar>
          </w:tcPr>
          <w:p>
            <w:pPr>
              <w:spacing w:after="0"/>
            </w:pPr>
            <w:r>
              <w:rPr>
                <w:rFonts w:ascii="Aptos" w:hAnsi="Aptos"/>
                <w:sz w:val="18"/>
              </w:rPr>
              <w:t>Record ID; Record Name; Source Control/Process; Custodian Role; Authoritative Location/Source System; Retrieval Instruction; verification/status.</w:t>
            </w:r>
          </w:p>
        </w:tc>
      </w:tr>
      <w:tr>
        <w:tc>
          <w:tcPr>
            <w:tcW w:type="dxa" w:w="3168"/>
            <w:vAlign w:val="center"/>
            <w:tcMar>
              <w:top w:w="90" w:type="dxa"/>
              <w:start w:w="100" w:type="dxa"/>
              <w:bottom w:w="90" w:type="dxa"/>
              <w:end w:w="100" w:type="dxa"/>
            </w:tcMar>
          </w:tcPr>
          <w:p>
            <w:pPr>
              <w:spacing w:after="0"/>
            </w:pPr>
            <w:r>
              <w:rPr>
                <w:rFonts w:ascii="Aptos" w:hAnsi="Aptos"/>
                <w:sz w:val="18"/>
              </w:rPr>
              <w:t>Retention &amp; Disposition View</w:t>
            </w:r>
          </w:p>
        </w:tc>
        <w:tc>
          <w:tcPr>
            <w:tcW w:type="dxa" w:w="7200"/>
            <w:vAlign w:val="center"/>
            <w:tcMar>
              <w:top w:w="90" w:type="dxa"/>
              <w:start w:w="100" w:type="dxa"/>
              <w:bottom w:w="90" w:type="dxa"/>
              <w:end w:w="100" w:type="dxa"/>
            </w:tcMar>
          </w:tcPr>
          <w:p>
            <w:pPr>
              <w:spacing w:after="0"/>
            </w:pPr>
            <w:r>
              <w:rPr>
                <w:rFonts w:ascii="Aptos" w:hAnsi="Aptos"/>
                <w:sz w:val="18"/>
              </w:rPr>
              <w:t>Record ID; Record Name; Record Type; Retention Rule; Trigger; Authority; Disposition; Destruction Method/Evidence where applicable; hold/status/review.</w:t>
            </w:r>
          </w:p>
        </w:tc>
      </w:tr>
      <w:tr>
        <w:tc>
          <w:tcPr>
            <w:tcW w:type="dxa" w:w="3168"/>
            <w:vAlign w:val="center"/>
            <w:tcMar>
              <w:top w:w="90" w:type="dxa"/>
              <w:start w:w="100" w:type="dxa"/>
              <w:bottom w:w="90" w:type="dxa"/>
              <w:end w:w="100" w:type="dxa"/>
            </w:tcMar>
          </w:tcPr>
          <w:p>
            <w:pPr>
              <w:spacing w:after="0"/>
            </w:pPr>
            <w:r>
              <w:rPr>
                <w:rFonts w:ascii="Aptos" w:hAnsi="Aptos"/>
                <w:sz w:val="18"/>
              </w:rPr>
              <w:t>GRC Evidence View</w:t>
            </w:r>
          </w:p>
        </w:tc>
        <w:tc>
          <w:tcPr>
            <w:tcW w:type="dxa" w:w="7200"/>
            <w:vAlign w:val="center"/>
            <w:tcMar>
              <w:top w:w="90" w:type="dxa"/>
              <w:start w:w="100" w:type="dxa"/>
              <w:bottom w:w="90" w:type="dxa"/>
              <w:end w:w="100" w:type="dxa"/>
            </w:tcMar>
          </w:tcPr>
          <w:p>
            <w:pPr>
              <w:spacing w:after="0"/>
            </w:pPr>
            <w:r>
              <w:rPr>
                <w:rFonts w:ascii="Aptos" w:hAnsi="Aptos"/>
                <w:sz w:val="18"/>
              </w:rPr>
              <w:t>Control ID; Record ID; Record Name; evidence role; monitoring method/cadence; responsible role; authoritative source link.</w:t>
            </w:r>
          </w:p>
        </w:tc>
      </w:tr>
      <w:tr>
        <w:tc>
          <w:tcPr>
            <w:tcW w:type="dxa" w:w="3168"/>
            <w:vAlign w:val="center"/>
            <w:tcMar>
              <w:top w:w="90" w:type="dxa"/>
              <w:start w:w="100" w:type="dxa"/>
              <w:bottom w:w="90" w:type="dxa"/>
              <w:end w:w="100" w:type="dxa"/>
            </w:tcMar>
          </w:tcPr>
          <w:p>
            <w:pPr>
              <w:spacing w:after="0"/>
            </w:pPr>
            <w:r>
              <w:rPr>
                <w:rFonts w:ascii="Aptos" w:hAnsi="Aptos"/>
                <w:sz w:val="18"/>
              </w:rPr>
              <w:t>Privacy-linked View</w:t>
            </w:r>
          </w:p>
        </w:tc>
        <w:tc>
          <w:tcPr>
            <w:tcW w:type="dxa" w:w="7200"/>
            <w:vAlign w:val="center"/>
            <w:tcMar>
              <w:top w:w="90" w:type="dxa"/>
              <w:start w:w="100" w:type="dxa"/>
              <w:bottom w:w="90" w:type="dxa"/>
              <w:end w:w="100" w:type="dxa"/>
            </w:tcMar>
          </w:tcPr>
          <w:p>
            <w:pPr>
              <w:spacing w:after="0"/>
            </w:pPr>
            <w:r>
              <w:rPr>
                <w:rFonts w:ascii="Aptos" w:hAnsi="Aptos"/>
                <w:sz w:val="18"/>
              </w:rPr>
              <w:t>Record ID; Record Name; Personal Data Status; relevant specialist privacy reference.</w:t>
            </w:r>
          </w:p>
        </w:tc>
      </w:tr>
      <w:tr>
        <w:tc>
          <w:tcPr>
            <w:tcW w:type="dxa" w:w="3168"/>
            <w:vAlign w:val="center"/>
            <w:tcMar>
              <w:top w:w="90" w:type="dxa"/>
              <w:start w:w="100" w:type="dxa"/>
              <w:bottom w:w="90" w:type="dxa"/>
              <w:end w:w="100" w:type="dxa"/>
            </w:tcMar>
          </w:tcPr>
          <w:p>
            <w:pPr>
              <w:spacing w:after="0"/>
            </w:pPr>
            <w:r>
              <w:rPr>
                <w:rFonts w:ascii="Aptos" w:hAnsi="Aptos"/>
                <w:sz w:val="18"/>
              </w:rPr>
              <w:t>Lifecycle / Platform View</w:t>
            </w:r>
          </w:p>
        </w:tc>
        <w:tc>
          <w:tcPr>
            <w:tcW w:type="dxa" w:w="7200"/>
            <w:vAlign w:val="center"/>
            <w:tcMar>
              <w:top w:w="90" w:type="dxa"/>
              <w:start w:w="100" w:type="dxa"/>
              <w:bottom w:w="90" w:type="dxa"/>
              <w:end w:w="100" w:type="dxa"/>
            </w:tcMar>
          </w:tcPr>
          <w:p>
            <w:pPr>
              <w:spacing w:after="0"/>
            </w:pPr>
            <w:r>
              <w:rPr>
                <w:rFonts w:ascii="Aptos" w:hAnsi="Aptos"/>
                <w:sz w:val="18"/>
              </w:rPr>
              <w:t>Record ID; Record Name; platform/system; lifecycle treatment reference and enforcement status where applicable.</w:t>
            </w:r>
          </w:p>
        </w:tc>
      </w:tr>
    </w:tbl>
    <w:p/>
    <w:p>
      <w:pPr>
        <w:pStyle w:val="Heading1"/>
      </w:pPr>
      <w:r>
        <w:t>10.0 RECORD TYPE EXTENSION PROCESS</w:t>
      </w:r>
    </w:p>
    <w:p>
      <w:r>
        <w:t>Where a proposed Record Name cannot be mapped to an existing approved Record Type without distorting its evidential purpose, the author raises a Record Type Extension Request. Drafting may continue using the proposed Type clearly marked as provisional, but the control shall not treat that Type as authorised until the controlled taxonomy is updated.</w:t>
      </w:r>
    </w:p>
    <w:p>
      <w:pPr>
        <w:pStyle w:val="ListBullet"/>
      </w:pPr>
      <w:r>
        <w:t>Proposed Record Type name and definition.</w:t>
      </w:r>
    </w:p>
    <w:p>
      <w:pPr>
        <w:pStyle w:val="ListBullet"/>
      </w:pPr>
      <w:r>
        <w:t>Example Record Names that would use it.</w:t>
      </w:r>
    </w:p>
    <w:p>
      <w:pPr>
        <w:pStyle w:val="ListBullet"/>
      </w:pPr>
      <w:r>
        <w:t>Closest existing Record Type(s) considered.</w:t>
      </w:r>
    </w:p>
    <w:p>
      <w:pPr>
        <w:pStyle w:val="ListBullet"/>
      </w:pPr>
      <w:r>
        <w:t>Why existing Type(s) are insufficient.</w:t>
      </w:r>
    </w:p>
    <w:p>
      <w:pPr>
        <w:pStyle w:val="ListBullet"/>
      </w:pPr>
      <w:r>
        <w:t>Expected reuse beyond one local record or process.</w:t>
      </w:r>
    </w:p>
    <w:p>
      <w:pPr>
        <w:pStyle w:val="ListBullet"/>
      </w:pPr>
      <w:r>
        <w:t>Any consequential taxonomy or mapping impact.</w:t>
      </w:r>
    </w:p>
    <w:p>
      <w:r>
        <w:t>Records Governance tests the proposal for semantic distinctness, reusability, non-duplication and technology/channel neutrality. The outcome is one of: map to an existing Type; refine an existing definition; approve a new Type; or reject the proposal as a pseudo-type/local label. Only the controlled taxonomy update authorises use of a new Type.</w:t>
      </w:r>
    </w:p>
    <w:p>
      <w:pPr>
        <w:pStyle w:val="Heading1"/>
      </w:pPr>
      <w:r>
        <w:t>11.0 DISCOVERY &amp; DECOMPOSITION</w:t>
      </w:r>
    </w:p>
    <w:p>
      <w:r>
        <w:t>Controlled Policies, Standards, Procedures, Specifications, SOPs and referenced forms/registers are legitimate discovery sources for record candidates. Discovery is not approval. A locally named record, local retention period or local repository does not become authoritative merely because it appears in a controlled document.</w:t>
      </w:r>
    </w:p>
    <w:p>
      <w:r>
        <w:t>Decomposition occurs once in the Enterprise Records Catalogue. Broad datasets, system containers and ambiguous data domains remain discovery candidates until the actual organisational evidence is identified and assigned stable Record IDs. Downstream Findability, Retention, Privacy and GRC views use those governed IDs and do not perform independent decomposition.</w:t>
      </w:r>
    </w:p>
    <w:p>
      <w:pPr>
        <w:pStyle w:val="Heading1"/>
      </w:pPr>
      <w:r>
        <w:t>12.0 CHANGE CONTROL &amp; REFERENCES</w:t>
      </w:r>
    </w:p>
    <w:p>
      <w:pPr>
        <w:pStyle w:val="ListBullet"/>
      </w:pPr>
      <w:r>
        <w:t>Changes to this metadata model follow CDI change control.</w:t>
      </w:r>
    </w:p>
    <w:p>
      <w:pPr>
        <w:pStyle w:val="ListBullet"/>
      </w:pPr>
      <w:r>
        <w:t>Changes to Record Type definitions or values require controlled taxonomy approval.</w:t>
      </w:r>
    </w:p>
    <w:p>
      <w:pPr>
        <w:pStyle w:val="ListBullet"/>
      </w:pPr>
      <w:r>
        <w:t>Changes to Record Name governance metadata follow the approval route defined by the Information &amp; Records Governance Standard and any applicable specialist authority.</w:t>
      </w:r>
    </w:p>
    <w:p>
      <w:pPr>
        <w:pStyle w:val="ListBullet"/>
      </w:pPr>
      <w:r>
        <w:t>Retired Record Names remain traceable to a successor where one exists.</w:t>
      </w:r>
    </w:p>
    <w:p>
      <w:pPr>
        <w:pStyle w:val="ListBullet"/>
      </w:pPr>
      <w:r>
        <w:t>Information &amp; Records Governance Standard</w:t>
      </w:r>
    </w:p>
    <w:p>
      <w:pPr>
        <w:pStyle w:val="ListBullet"/>
      </w:pPr>
      <w:r>
        <w:t>Control of Documented Information Procedure</w:t>
      </w:r>
    </w:p>
    <w:p>
      <w:pPr>
        <w:pStyle w:val="ListBullet"/>
      </w:pPr>
      <w:r>
        <w:t>Enterprise Records Catalogue</w:t>
      </w:r>
    </w:p>
    <w:p>
      <w:pPr>
        <w:pStyle w:val="ListBullet"/>
      </w:pPr>
      <w:r>
        <w:t>Information Classification control family</w:t>
      </w:r>
    </w:p>
    <w:p>
      <w:pPr>
        <w:pStyle w:val="ListBullet"/>
      </w:pPr>
      <w:r>
        <w:t>Data Protection &amp; Privacy control family</w:t>
      </w:r>
    </w:p>
    <w:p>
      <w:pPr>
        <w:pStyle w:val="ListBullet"/>
      </w:pPr>
      <w:r>
        <w:t>applicable lifecycle/platform controls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Property of Dragnet Solutions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