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Records Governance Family</w:t>
      </w:r>
    </w:p>
    <w:p>
      <w:pPr>
        <w:jc w:val="center"/>
      </w:pPr>
      <w:r>
        <w:rPr>
          <w:b/>
          <w:sz w:val="26"/>
        </w:rPr>
        <w:t>Overview, Transition and Retirement Note</w:t>
      </w:r>
    </w:p>
    <w:p>
      <w:pPr>
        <w:jc w:val="center"/>
      </w:pPr>
      <w:r>
        <w:rPr>
          <w:i/>
        </w:rPr>
        <w:t>For Victoria - September 2026</w:t>
      </w:r>
    </w:p>
    <w:p>
      <w:pPr>
        <w:pStyle w:val="Heading1"/>
      </w:pPr>
      <w:r>
        <w:t>1. Purpose of this package</w:t>
      </w:r>
    </w:p>
    <w:p>
      <w:r>
        <w:t>This package consolidates the work undertaken to simplify Dragnet's documented-information and records-governance architecture. It replaces fragmented and, in places, conflicting control instruments with a smaller family in which document control, drafting discipline, GRC readiness, record identity, findability, retention and disposition have clear homes.</w:t>
      </w:r>
    </w:p>
    <w:p>
      <w:pPr>
        <w:pStyle w:val="Heading1"/>
      </w:pPr>
      <w:r>
        <w:t>2. What has changed</w:t>
      </w:r>
    </w:p>
    <w:p>
      <w:r>
        <w:rPr>
          <w:b/>
        </w:rPr>
        <w:t>CDI has been strengthened, not expanded indiscriminately.</w:t>
      </w:r>
    </w:p>
    <w:p>
      <w:r>
        <w:t>The CDI Procedure now contains the enduring authoring rules formerly held in the Document Authoring Guide, the generic monitoring principles formerly held in the Compliance Monitoring Procedure, GRC-ready drafting rules, automated-evidence requirements, one-record-of-truth discipline and the anti-patterns repeatedly observed during the estate review.</w:t>
      </w:r>
    </w:p>
    <w:p>
      <w:r>
        <w:rPr>
          <w:b/>
        </w:rPr>
        <w:t>The standalone retention-policy architecture is being retired.</w:t>
      </w:r>
    </w:p>
    <w:p>
      <w:r>
        <w:t>The legacy Records Retention &amp; Protection Policy (DRG-ISMS-POL-RRP-01-25), legacy DRG-DRP-01 and Data Retention Policy (DRG-QI-POL-DR-01-26) are retired as active standalone governance instruments on issue of this successor family. Their substantive retention requirements remain traceable source inputs until each relevant rule is validated and approved against the applicable Record Name; retirement of the policy instrument does not discard an underlying legal, regulatory, contractual or approved business obligation.</w:t>
      </w:r>
    </w:p>
    <w:p>
      <w:r>
        <w:rPr>
          <w:b/>
        </w:rPr>
        <w:t>Records now have a proper enterprise model.</w:t>
      </w:r>
    </w:p>
    <w:p>
      <w:r>
        <w:t>Record Name is the governed identity. Record Type provides semantics only. Custody, findability, retention, trigger, authority, disposition and destruction treatment are governed against the Record Name in its applicable process/control context. The same stable Record ID is used across catalogue, findability, retention and specialist views.</w:t>
      </w:r>
    </w:p>
    <w:p>
      <w:r>
        <w:rPr>
          <w:b/>
        </w:rPr>
        <w:t>Drafting no longer assumes the authoritative estate is complete.</w:t>
      </w:r>
    </w:p>
    <w:p>
      <w:r>
        <w:t>The general rule is 'authoritative reference first; governed extension where necessary'. Humans and AI/GRC agents reuse authoritative objects where they exist. If drafting discovers a genuine gap - a new risk, record, role, classification, obligation or other governed object - the draft may continue with a clearly provisional proposal while the new object is routed through its applicable governance process.</w:t>
      </w:r>
    </w:p>
    <w:p>
      <w:r>
        <w:rPr>
          <w:b/>
        </w:rPr>
        <w:t>Monitoring has been repackaged rather than lost.</w:t>
      </w:r>
    </w:p>
    <w:p>
      <w:r>
        <w:t>The generic monitoring method, evidence freshness, exception/escalation, reporting, one-record-of-truth and distinction from Internal Audit now sit in CDI. Service-specific operational monitoring remains with the relevant process/control family.</w:t>
      </w:r>
    </w:p>
    <w:p>
      <w:r>
        <w:rPr>
          <w:b/>
        </w:rPr>
        <w:t>Estate regularisation becomes ongoing.</w:t>
      </w:r>
    </w:p>
    <w:p>
      <w:r>
        <w:t>The records sweep gave a substantial discovery baseline, but this package does not claim that every document in the entire estate has been manually reviewed. The new architecture makes regularisation a standing control. GRC-supported drafting, review and extraction can progressively surface new Record Names and other governed objects, map them to existing authorities where possible and route genuine gaps for controlled extension.</w:t>
      </w:r>
    </w:p>
    <w:p>
      <w:pPr>
        <w:pStyle w:val="Heading1"/>
      </w:pPr>
      <w:r>
        <w:t>3. Successor family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vAlign w:val="center"/>
            <w:tcMar>
              <w:top w:w="90" w:type="dxa"/>
              <w:start w:w="100" w:type="dxa"/>
              <w:bottom w:w="90" w:type="dxa"/>
              <w:end w:w="100" w:type="dxa"/>
            </w:tcMar>
          </w:tcPr>
          <w:p>
            <w:pPr>
              <w:spacing w:after="0"/>
            </w:pPr>
            <w:r>
              <w:rPr>
                <w:rFonts w:ascii="Aptos" w:hAnsi="Aptos"/>
                <w:sz w:val="18"/>
              </w:rPr>
              <w:t>Instrument</w:t>
            </w:r>
          </w:p>
        </w:tc>
        <w:tc>
          <w:tcPr>
            <w:tcW w:type="dxa" w:w="3360"/>
            <w:shd w:fill="D9E2F3"/>
            <w:vAlign w:val="center"/>
            <w:tcMar>
              <w:top w:w="90" w:type="dxa"/>
              <w:start w:w="100" w:type="dxa"/>
              <w:bottom w:w="90" w:type="dxa"/>
              <w:end w:w="100" w:type="dxa"/>
            </w:tcMar>
          </w:tcPr>
          <w:p>
            <w:pPr>
              <w:spacing w:after="0"/>
            </w:pPr>
            <w:r>
              <w:rPr>
                <w:rFonts w:ascii="Aptos" w:hAnsi="Aptos"/>
                <w:sz w:val="18"/>
              </w:rPr>
              <w:t>Role</w:t>
            </w:r>
          </w:p>
        </w:tc>
        <w:tc>
          <w:tcPr>
            <w:tcW w:type="dxa" w:w="3360"/>
            <w:shd w:fill="D9E2F3"/>
            <w:vAlign w:val="center"/>
            <w:tcMar>
              <w:top w:w="90" w:type="dxa"/>
              <w:start w:w="100" w:type="dxa"/>
              <w:bottom w:w="90" w:type="dxa"/>
              <w:end w:w="100" w:type="dxa"/>
            </w:tcMar>
          </w:tcPr>
          <w:p>
            <w:pPr>
              <w:spacing w:after="0"/>
            </w:pPr>
            <w:r>
              <w:rPr>
                <w:rFonts w:ascii="Aptos" w:hAnsi="Aptos"/>
                <w:sz w:val="18"/>
              </w:rPr>
              <w:t>Status in this package</w:t>
            </w:r>
          </w:p>
        </w:tc>
      </w:tr>
      <w:tr>
        <w:tc>
          <w:tcPr>
            <w:tcW w:type="dxa" w:w="3360"/>
            <w:vAlign w:val="center"/>
            <w:tcMar>
              <w:top w:w="90" w:type="dxa"/>
              <w:start w:w="100" w:type="dxa"/>
              <w:bottom w:w="90" w:type="dxa"/>
              <w:end w:w="100" w:type="dxa"/>
            </w:tcMar>
          </w:tcPr>
          <w:p>
            <w:pPr>
              <w:spacing w:after="0"/>
            </w:pPr>
            <w:r>
              <w:rPr>
                <w:rFonts w:ascii="Aptos" w:hAnsi="Aptos"/>
                <w:sz w:val="18"/>
              </w:rPr>
              <w:t>Control of Documented Information Policy</w:t>
            </w:r>
          </w:p>
        </w:tc>
        <w:tc>
          <w:tcPr>
            <w:tcW w:type="dxa" w:w="3360"/>
            <w:vAlign w:val="center"/>
            <w:tcMar>
              <w:top w:w="90" w:type="dxa"/>
              <w:start w:w="100" w:type="dxa"/>
              <w:bottom w:w="90" w:type="dxa"/>
              <w:end w:w="100" w:type="dxa"/>
            </w:tcMar>
          </w:tcPr>
          <w:p>
            <w:pPr>
              <w:spacing w:after="0"/>
            </w:pPr>
            <w:r>
              <w:rPr>
                <w:rFonts w:ascii="Aptos" w:hAnsi="Aptos"/>
                <w:sz w:val="18"/>
              </w:rPr>
              <w:t>Charter for the CDI family and interfaces with specialist governance.</w:t>
            </w:r>
          </w:p>
        </w:tc>
        <w:tc>
          <w:tcPr>
            <w:tcW w:type="dxa" w:w="3360"/>
            <w:vAlign w:val="center"/>
            <w:tcMar>
              <w:top w:w="90" w:type="dxa"/>
              <w:start w:w="100" w:type="dxa"/>
              <w:bottom w:w="90" w:type="dxa"/>
              <w:end w:w="100" w:type="dxa"/>
            </w:tcMar>
          </w:tcPr>
          <w:p>
            <w:pPr>
              <w:spacing w:after="0"/>
            </w:pPr>
            <w:r>
              <w:rPr>
                <w:rFonts w:ascii="Aptos" w:hAnsi="Aptos"/>
                <w:sz w:val="18"/>
              </w:rPr>
              <w:t>Revised clean draft</w:t>
            </w:r>
          </w:p>
        </w:tc>
      </w:tr>
      <w:tr>
        <w:tc>
          <w:tcPr>
            <w:tcW w:type="dxa" w:w="3360"/>
            <w:vAlign w:val="center"/>
            <w:tcMar>
              <w:top w:w="90" w:type="dxa"/>
              <w:start w:w="100" w:type="dxa"/>
              <w:bottom w:w="90" w:type="dxa"/>
              <w:end w:w="100" w:type="dxa"/>
            </w:tcMar>
          </w:tcPr>
          <w:p>
            <w:pPr>
              <w:spacing w:after="0"/>
            </w:pPr>
            <w:r>
              <w:rPr>
                <w:rFonts w:ascii="Aptos" w:hAnsi="Aptos"/>
                <w:sz w:val="18"/>
              </w:rPr>
              <w:t>Control of Documented Information Procedure</w:t>
            </w:r>
          </w:p>
        </w:tc>
        <w:tc>
          <w:tcPr>
            <w:tcW w:type="dxa" w:w="3360"/>
            <w:vAlign w:val="center"/>
            <w:tcMar>
              <w:top w:w="90" w:type="dxa"/>
              <w:start w:w="100" w:type="dxa"/>
              <w:bottom w:w="90" w:type="dxa"/>
              <w:end w:w="100" w:type="dxa"/>
            </w:tcMar>
          </w:tcPr>
          <w:p>
            <w:pPr>
              <w:spacing w:after="0"/>
            </w:pPr>
            <w:r>
              <w:rPr>
                <w:rFonts w:ascii="Aptos" w:hAnsi="Aptos"/>
                <w:sz w:val="18"/>
              </w:rPr>
              <w:t>Document control, authoring, GRC readiness, evidence, monitoring and anti-pattern rules.</w:t>
            </w:r>
          </w:p>
        </w:tc>
        <w:tc>
          <w:tcPr>
            <w:tcW w:type="dxa" w:w="3360"/>
            <w:vAlign w:val="center"/>
            <w:tcMar>
              <w:top w:w="90" w:type="dxa"/>
              <w:start w:w="100" w:type="dxa"/>
              <w:bottom w:w="90" w:type="dxa"/>
              <w:end w:w="100" w:type="dxa"/>
            </w:tcMar>
          </w:tcPr>
          <w:p>
            <w:pPr>
              <w:spacing w:after="0"/>
            </w:pPr>
            <w:r>
              <w:rPr>
                <w:rFonts w:ascii="Aptos" w:hAnsi="Aptos"/>
                <w:sz w:val="18"/>
              </w:rPr>
              <w:t>Revised clean draft; supersedes Authoring Guide and generic Compliance Monitoring Procedure</w:t>
            </w:r>
          </w:p>
        </w:tc>
      </w:tr>
      <w:tr>
        <w:tc>
          <w:tcPr>
            <w:tcW w:type="dxa" w:w="3360"/>
            <w:vAlign w:val="center"/>
            <w:tcMar>
              <w:top w:w="90" w:type="dxa"/>
              <w:start w:w="100" w:type="dxa"/>
              <w:bottom w:w="90" w:type="dxa"/>
              <w:end w:w="100" w:type="dxa"/>
            </w:tcMar>
          </w:tcPr>
          <w:p>
            <w:pPr>
              <w:spacing w:after="0"/>
            </w:pPr>
            <w:r>
              <w:rPr>
                <w:rFonts w:ascii="Aptos" w:hAnsi="Aptos"/>
                <w:sz w:val="18"/>
              </w:rPr>
              <w:t>Information &amp; Records Governance Standard</w:t>
            </w:r>
          </w:p>
        </w:tc>
        <w:tc>
          <w:tcPr>
            <w:tcW w:type="dxa" w:w="3360"/>
            <w:vAlign w:val="center"/>
            <w:tcMar>
              <w:top w:w="90" w:type="dxa"/>
              <w:start w:w="100" w:type="dxa"/>
              <w:bottom w:w="90" w:type="dxa"/>
              <w:end w:w="100" w:type="dxa"/>
            </w:tcMar>
          </w:tcPr>
          <w:p>
            <w:pPr>
              <w:spacing w:after="0"/>
            </w:pPr>
            <w:r>
              <w:rPr>
                <w:rFonts w:ascii="Aptos" w:hAnsi="Aptos"/>
                <w:sz w:val="18"/>
              </w:rPr>
              <w:t>Mandatory enterprise rules for governed Record Names, findability, retention and disposition.</w:t>
            </w:r>
          </w:p>
        </w:tc>
        <w:tc>
          <w:tcPr>
            <w:tcW w:type="dxa" w:w="3360"/>
            <w:vAlign w:val="center"/>
            <w:tcMar>
              <w:top w:w="90" w:type="dxa"/>
              <w:start w:w="100" w:type="dxa"/>
              <w:bottom w:w="90" w:type="dxa"/>
              <w:end w:w="100" w:type="dxa"/>
            </w:tcMar>
          </w:tcPr>
          <w:p>
            <w:pPr>
              <w:spacing w:after="0"/>
            </w:pPr>
            <w:r>
              <w:rPr>
                <w:rFonts w:ascii="Aptos" w:hAnsi="Aptos"/>
                <w:sz w:val="18"/>
              </w:rPr>
              <w:t>New successor standard</w:t>
            </w:r>
          </w:p>
        </w:tc>
      </w:tr>
      <w:tr>
        <w:tc>
          <w:tcPr>
            <w:tcW w:type="dxa" w:w="3360"/>
            <w:vAlign w:val="center"/>
            <w:tcMar>
              <w:top w:w="90" w:type="dxa"/>
              <w:start w:w="100" w:type="dxa"/>
              <w:bottom w:w="90" w:type="dxa"/>
              <w:end w:w="100" w:type="dxa"/>
            </w:tcMar>
          </w:tcPr>
          <w:p>
            <w:pPr>
              <w:spacing w:after="0"/>
            </w:pPr>
            <w:r>
              <w:rPr>
                <w:rFonts w:ascii="Aptos" w:hAnsi="Aptos"/>
                <w:sz w:val="18"/>
              </w:rPr>
              <w:t>Records Taxonomy &amp; Metadata Specification</w:t>
            </w:r>
          </w:p>
        </w:tc>
        <w:tc>
          <w:tcPr>
            <w:tcW w:type="dxa" w:w="3360"/>
            <w:vAlign w:val="center"/>
            <w:tcMar>
              <w:top w:w="90" w:type="dxa"/>
              <w:start w:w="100" w:type="dxa"/>
              <w:bottom w:w="90" w:type="dxa"/>
              <w:end w:w="100" w:type="dxa"/>
            </w:tcMar>
          </w:tcPr>
          <w:p>
            <w:pPr>
              <w:spacing w:after="0"/>
            </w:pPr>
            <w:r>
              <w:rPr>
                <w:rFonts w:ascii="Aptos" w:hAnsi="Aptos"/>
                <w:sz w:val="18"/>
              </w:rPr>
              <w:t>Semantic Record Type taxonomy, Record Name metadata and extension rules.</w:t>
            </w:r>
          </w:p>
        </w:tc>
        <w:tc>
          <w:tcPr>
            <w:tcW w:type="dxa" w:w="3360"/>
            <w:vAlign w:val="center"/>
            <w:tcMar>
              <w:top w:w="90" w:type="dxa"/>
              <w:start w:w="100" w:type="dxa"/>
              <w:bottom w:w="90" w:type="dxa"/>
              <w:end w:w="100" w:type="dxa"/>
            </w:tcMar>
          </w:tcPr>
          <w:p>
            <w:pPr>
              <w:spacing w:after="0"/>
            </w:pPr>
            <w:r>
              <w:rPr>
                <w:rFonts w:ascii="Aptos" w:hAnsi="Aptos"/>
                <w:sz w:val="18"/>
              </w:rPr>
              <w:t>New successor specification</w:t>
            </w:r>
          </w:p>
        </w:tc>
      </w:tr>
      <w:tr>
        <w:tc>
          <w:tcPr>
            <w:tcW w:type="dxa" w:w="3360"/>
            <w:vAlign w:val="center"/>
            <w:tcMar>
              <w:top w:w="90" w:type="dxa"/>
              <w:start w:w="100" w:type="dxa"/>
              <w:bottom w:w="90" w:type="dxa"/>
              <w:end w:w="100" w:type="dxa"/>
            </w:tcMar>
          </w:tcPr>
          <w:p>
            <w:pPr>
              <w:spacing w:after="0"/>
            </w:pPr>
            <w:r>
              <w:rPr>
                <w:rFonts w:ascii="Aptos" w:hAnsi="Aptos"/>
                <w:sz w:val="18"/>
              </w:rPr>
              <w:t>Enterprise Record Type Taxonomy</w:t>
            </w:r>
          </w:p>
        </w:tc>
        <w:tc>
          <w:tcPr>
            <w:tcW w:type="dxa" w:w="3360"/>
            <w:vAlign w:val="center"/>
            <w:tcMar>
              <w:top w:w="90" w:type="dxa"/>
              <w:start w:w="100" w:type="dxa"/>
              <w:bottom w:w="90" w:type="dxa"/>
              <w:end w:w="100" w:type="dxa"/>
            </w:tcMar>
          </w:tcPr>
          <w:p>
            <w:pPr>
              <w:spacing w:after="0"/>
            </w:pPr>
            <w:r>
              <w:rPr>
                <w:rFonts w:ascii="Aptos" w:hAnsi="Aptos"/>
                <w:sz w:val="18"/>
              </w:rPr>
              <w:t>Approved-type working set for rationalisation and review.</w:t>
            </w:r>
          </w:p>
        </w:tc>
        <w:tc>
          <w:tcPr>
            <w:tcW w:type="dxa" w:w="3360"/>
            <w:vAlign w:val="center"/>
            <w:tcMar>
              <w:top w:w="90" w:type="dxa"/>
              <w:start w:w="100" w:type="dxa"/>
              <w:bottom w:w="90" w:type="dxa"/>
              <w:end w:w="100" w:type="dxa"/>
            </w:tcMar>
          </w:tcPr>
          <w:p>
            <w:pPr>
              <w:spacing w:after="0"/>
            </w:pPr>
            <w:r>
              <w:rPr>
                <w:rFonts w:ascii="Aptos" w:hAnsi="Aptos"/>
                <w:sz w:val="18"/>
              </w:rPr>
              <w:t>Rationalised draft</w:t>
            </w:r>
          </w:p>
        </w:tc>
      </w:tr>
      <w:tr>
        <w:tc>
          <w:tcPr>
            <w:tcW w:type="dxa" w:w="3360"/>
            <w:vAlign w:val="center"/>
            <w:tcMar>
              <w:top w:w="90" w:type="dxa"/>
              <w:start w:w="100" w:type="dxa"/>
              <w:bottom w:w="90" w:type="dxa"/>
              <w:end w:w="100" w:type="dxa"/>
            </w:tcMar>
          </w:tcPr>
          <w:p>
            <w:pPr>
              <w:spacing w:after="0"/>
            </w:pPr>
            <w:r>
              <w:rPr>
                <w:rFonts w:ascii="Aptos" w:hAnsi="Aptos"/>
                <w:sz w:val="18"/>
              </w:rPr>
              <w:t>Enterprise Records Catalogue</w:t>
            </w:r>
          </w:p>
        </w:tc>
        <w:tc>
          <w:tcPr>
            <w:tcW w:type="dxa" w:w="3360"/>
            <w:vAlign w:val="center"/>
            <w:tcMar>
              <w:top w:w="90" w:type="dxa"/>
              <w:start w:w="100" w:type="dxa"/>
              <w:bottom w:w="90" w:type="dxa"/>
              <w:end w:w="100" w:type="dxa"/>
            </w:tcMar>
          </w:tcPr>
          <w:p>
            <w:pPr>
              <w:spacing w:after="0"/>
            </w:pPr>
            <w:r>
              <w:rPr>
                <w:rFonts w:ascii="Aptos" w:hAnsi="Aptos"/>
                <w:sz w:val="18"/>
              </w:rPr>
              <w:t>Record Name working master and derived findability/retention views.</w:t>
            </w:r>
          </w:p>
        </w:tc>
        <w:tc>
          <w:tcPr>
            <w:tcW w:type="dxa" w:w="3360"/>
            <w:vAlign w:val="center"/>
            <w:tcMar>
              <w:top w:w="90" w:type="dxa"/>
              <w:start w:w="100" w:type="dxa"/>
              <w:bottom w:w="90" w:type="dxa"/>
              <w:end w:w="100" w:type="dxa"/>
            </w:tcMar>
          </w:tcPr>
          <w:p>
            <w:pPr>
              <w:spacing w:after="0"/>
            </w:pPr>
            <w:r>
              <w:rPr>
                <w:rFonts w:ascii="Aptos" w:hAnsi="Aptos"/>
                <w:sz w:val="18"/>
              </w:rPr>
              <w:t>Rationalised draft; discovery baseline, not yet final authority</w:t>
            </w:r>
          </w:p>
        </w:tc>
      </w:tr>
      <w:tr>
        <w:tc>
          <w:tcPr>
            <w:tcW w:type="dxa" w:w="3360"/>
            <w:vAlign w:val="center"/>
            <w:tcMar>
              <w:top w:w="90" w:type="dxa"/>
              <w:start w:w="100" w:type="dxa"/>
              <w:bottom w:w="90" w:type="dxa"/>
              <w:end w:w="100" w:type="dxa"/>
            </w:tcMar>
          </w:tcPr>
          <w:p>
            <w:pPr>
              <w:spacing w:after="0"/>
            </w:pPr>
            <w:r>
              <w:rPr>
                <w:rFonts w:ascii="Aptos" w:hAnsi="Aptos"/>
                <w:sz w:val="18"/>
              </w:rPr>
              <w:t>Readiness &amp; Transition Log</w:t>
            </w:r>
          </w:p>
        </w:tc>
        <w:tc>
          <w:tcPr>
            <w:tcW w:type="dxa" w:w="3360"/>
            <w:vAlign w:val="center"/>
            <w:tcMar>
              <w:top w:w="90" w:type="dxa"/>
              <w:start w:w="100" w:type="dxa"/>
              <w:bottom w:w="90" w:type="dxa"/>
              <w:end w:w="100" w:type="dxa"/>
            </w:tcMar>
          </w:tcPr>
          <w:p>
            <w:pPr>
              <w:spacing w:after="0"/>
            </w:pPr>
            <w:r>
              <w:rPr>
                <w:rFonts w:ascii="Aptos" w:hAnsi="Aptos"/>
                <w:sz w:val="18"/>
              </w:rPr>
              <w:t>Temporary implementation blockers, migration items and closure evidence.</w:t>
            </w:r>
          </w:p>
        </w:tc>
        <w:tc>
          <w:tcPr>
            <w:tcW w:type="dxa" w:w="3360"/>
            <w:vAlign w:val="center"/>
            <w:tcMar>
              <w:top w:w="90" w:type="dxa"/>
              <w:start w:w="100" w:type="dxa"/>
              <w:bottom w:w="90" w:type="dxa"/>
              <w:end w:w="100" w:type="dxa"/>
            </w:tcMar>
          </w:tcPr>
          <w:p>
            <w:pPr>
              <w:spacing w:after="0"/>
            </w:pPr>
            <w:r>
              <w:rPr>
                <w:rFonts w:ascii="Aptos" w:hAnsi="Aptos"/>
                <w:sz w:val="18"/>
              </w:rPr>
              <w:t>Working transition record</w:t>
            </w:r>
          </w:p>
        </w:tc>
      </w:tr>
    </w:tbl>
    <w:p>
      <w:pPr>
        <w:pStyle w:val="Heading1"/>
      </w:pPr>
      <w:r>
        <w:t>4. Retirements and supersessions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CE4D6"/>
            <w:vAlign w:val="center"/>
            <w:tcMar>
              <w:top w:w="90" w:type="dxa"/>
              <w:start w:w="100" w:type="dxa"/>
              <w:bottom w:w="90" w:type="dxa"/>
              <w:end w:w="100" w:type="dxa"/>
            </w:tcMar>
          </w:tcPr>
          <w:p>
            <w:pPr>
              <w:spacing w:after="0"/>
            </w:pPr>
            <w:r>
              <w:rPr>
                <w:rFonts w:ascii="Aptos" w:hAnsi="Aptos"/>
                <w:sz w:val="18"/>
              </w:rPr>
              <w:t>Instrument</w:t>
            </w:r>
          </w:p>
        </w:tc>
        <w:tc>
          <w:tcPr>
            <w:tcW w:type="dxa" w:w="2520"/>
            <w:shd w:fill="FCE4D6"/>
            <w:vAlign w:val="center"/>
            <w:tcMar>
              <w:top w:w="90" w:type="dxa"/>
              <w:start w:w="100" w:type="dxa"/>
              <w:bottom w:w="90" w:type="dxa"/>
              <w:end w:w="100" w:type="dxa"/>
            </w:tcMar>
          </w:tcPr>
          <w:p>
            <w:pPr>
              <w:spacing w:after="0"/>
            </w:pPr>
            <w:r>
              <w:rPr>
                <w:rFonts w:ascii="Aptos" w:hAnsi="Aptos"/>
                <w:sz w:val="18"/>
              </w:rPr>
              <w:t>Treatment</w:t>
            </w:r>
          </w:p>
        </w:tc>
        <w:tc>
          <w:tcPr>
            <w:tcW w:type="dxa" w:w="2520"/>
            <w:shd w:fill="FCE4D6"/>
            <w:vAlign w:val="center"/>
            <w:tcMar>
              <w:top w:w="90" w:type="dxa"/>
              <w:start w:w="100" w:type="dxa"/>
              <w:bottom w:w="90" w:type="dxa"/>
              <w:end w:w="100" w:type="dxa"/>
            </w:tcMar>
          </w:tcPr>
          <w:p>
            <w:pPr>
              <w:spacing w:after="0"/>
            </w:pPr>
            <w:r>
              <w:rPr>
                <w:rFonts w:ascii="Aptos" w:hAnsi="Aptos"/>
                <w:sz w:val="18"/>
              </w:rPr>
              <w:t>Successor / destination</w:t>
            </w:r>
          </w:p>
        </w:tc>
        <w:tc>
          <w:tcPr>
            <w:tcW w:type="dxa" w:w="2520"/>
            <w:shd w:fill="FCE4D6"/>
            <w:vAlign w:val="center"/>
            <w:tcMar>
              <w:top w:w="90" w:type="dxa"/>
              <w:start w:w="100" w:type="dxa"/>
              <w:bottom w:w="90" w:type="dxa"/>
              <w:end w:w="100" w:type="dxa"/>
            </w:tcMar>
          </w:tcPr>
          <w:p>
            <w:pPr>
              <w:spacing w:after="0"/>
            </w:pPr>
            <w:r>
              <w:rPr>
                <w:rFonts w:ascii="Aptos" w:hAnsi="Aptos"/>
                <w:sz w:val="18"/>
              </w:rPr>
              <w:t>Migration rule</w:t>
            </w:r>
          </w:p>
        </w:tc>
      </w:tr>
      <w:tr>
        <w:tc>
          <w:tcPr>
            <w:tcW w:type="dxa" w:w="2520"/>
            <w:vAlign w:val="center"/>
            <w:tcMar>
              <w:top w:w="90" w:type="dxa"/>
              <w:start w:w="100" w:type="dxa"/>
              <w:bottom w:w="90" w:type="dxa"/>
              <w:end w:w="100" w:type="dxa"/>
            </w:tcMar>
          </w:tcPr>
          <w:p>
            <w:pPr>
              <w:spacing w:after="0"/>
            </w:pPr>
            <w:r>
              <w:rPr>
                <w:rFonts w:ascii="Aptos" w:hAnsi="Aptos"/>
                <w:sz w:val="18"/>
              </w:rPr>
              <w:t>Document Authoring Guide - DRG-QI-GDL-DAG-01-26</w:t>
            </w:r>
          </w:p>
        </w:tc>
        <w:tc>
          <w:tcPr>
            <w:tcW w:type="dxa" w:w="2520"/>
            <w:vAlign w:val="center"/>
            <w:tcMar>
              <w:top w:w="90" w:type="dxa"/>
              <w:start w:w="100" w:type="dxa"/>
              <w:bottom w:w="90" w:type="dxa"/>
              <w:end w:w="100" w:type="dxa"/>
            </w:tcMar>
          </w:tcPr>
          <w:p>
            <w:pPr>
              <w:spacing w:after="0"/>
            </w:pPr>
            <w:r>
              <w:rPr>
                <w:rFonts w:ascii="Aptos" w:hAnsi="Aptos"/>
                <w:sz w:val="18"/>
              </w:rPr>
              <w:t>Retire on CDI issue</w:t>
            </w:r>
          </w:p>
        </w:tc>
        <w:tc>
          <w:tcPr>
            <w:tcW w:type="dxa" w:w="2520"/>
            <w:vAlign w:val="center"/>
            <w:tcMar>
              <w:top w:w="90" w:type="dxa"/>
              <w:start w:w="100" w:type="dxa"/>
              <w:bottom w:w="90" w:type="dxa"/>
              <w:end w:w="100" w:type="dxa"/>
            </w:tcMar>
          </w:tcPr>
          <w:p>
            <w:pPr>
              <w:spacing w:after="0"/>
            </w:pPr>
            <w:r>
              <w:rPr>
                <w:rFonts w:ascii="Aptos" w:hAnsi="Aptos"/>
                <w:sz w:val="18"/>
              </w:rPr>
              <w:t>CDI Procedure</w:t>
            </w:r>
          </w:p>
        </w:tc>
        <w:tc>
          <w:tcPr>
            <w:tcW w:type="dxa" w:w="2520"/>
            <w:vAlign w:val="center"/>
            <w:tcMar>
              <w:top w:w="90" w:type="dxa"/>
              <w:start w:w="100" w:type="dxa"/>
              <w:bottom w:w="90" w:type="dxa"/>
              <w:end w:w="100" w:type="dxa"/>
            </w:tcMar>
          </w:tcPr>
          <w:p>
            <w:pPr>
              <w:spacing w:after="0"/>
            </w:pPr>
            <w:r>
              <w:rPr>
                <w:rFonts w:ascii="Aptos" w:hAnsi="Aptos"/>
                <w:sz w:val="18"/>
              </w:rPr>
              <w:t>Enduring authoring, automated-evidence and GRC-readiness rules consolidated into CDI.</w:t>
            </w:r>
          </w:p>
        </w:tc>
      </w:tr>
      <w:tr>
        <w:tc>
          <w:tcPr>
            <w:tcW w:type="dxa" w:w="2520"/>
            <w:vAlign w:val="center"/>
            <w:tcMar>
              <w:top w:w="90" w:type="dxa"/>
              <w:start w:w="100" w:type="dxa"/>
              <w:bottom w:w="90" w:type="dxa"/>
              <w:end w:w="100" w:type="dxa"/>
            </w:tcMar>
          </w:tcPr>
          <w:p>
            <w:pPr>
              <w:spacing w:after="0"/>
            </w:pPr>
            <w:r>
              <w:rPr>
                <w:rFonts w:ascii="Aptos" w:hAnsi="Aptos"/>
                <w:sz w:val="18"/>
              </w:rPr>
              <w:t>Compliance Monitoring Procedure - DRG-QI-PRO-CM-01-26</w:t>
            </w:r>
          </w:p>
        </w:tc>
        <w:tc>
          <w:tcPr>
            <w:tcW w:type="dxa" w:w="2520"/>
            <w:vAlign w:val="center"/>
            <w:tcMar>
              <w:top w:w="90" w:type="dxa"/>
              <w:start w:w="100" w:type="dxa"/>
              <w:bottom w:w="90" w:type="dxa"/>
              <w:end w:w="100" w:type="dxa"/>
            </w:tcMar>
          </w:tcPr>
          <w:p>
            <w:pPr>
              <w:spacing w:after="0"/>
            </w:pPr>
            <w:r>
              <w:rPr>
                <w:rFonts w:ascii="Aptos" w:hAnsi="Aptos"/>
                <w:sz w:val="18"/>
              </w:rPr>
              <w:t>Retire on CDI issue</w:t>
            </w:r>
          </w:p>
        </w:tc>
        <w:tc>
          <w:tcPr>
            <w:tcW w:type="dxa" w:w="2520"/>
            <w:vAlign w:val="center"/>
            <w:tcMar>
              <w:top w:w="90" w:type="dxa"/>
              <w:start w:w="100" w:type="dxa"/>
              <w:bottom w:w="90" w:type="dxa"/>
              <w:end w:w="100" w:type="dxa"/>
            </w:tcMar>
          </w:tcPr>
          <w:p>
            <w:pPr>
              <w:spacing w:after="0"/>
            </w:pPr>
            <w:r>
              <w:rPr>
                <w:rFonts w:ascii="Aptos" w:hAnsi="Aptos"/>
                <w:sz w:val="18"/>
              </w:rPr>
              <w:t>CDI Procedure + applicable operational controls</w:t>
            </w:r>
          </w:p>
        </w:tc>
        <w:tc>
          <w:tcPr>
            <w:tcW w:type="dxa" w:w="2520"/>
            <w:vAlign w:val="center"/>
            <w:tcMar>
              <w:top w:w="90" w:type="dxa"/>
              <w:start w:w="100" w:type="dxa"/>
              <w:bottom w:w="90" w:type="dxa"/>
              <w:end w:w="100" w:type="dxa"/>
            </w:tcMar>
          </w:tcPr>
          <w:p>
            <w:pPr>
              <w:spacing w:after="0"/>
            </w:pPr>
            <w:r>
              <w:rPr>
                <w:rFonts w:ascii="Aptos" w:hAnsi="Aptos"/>
                <w:sz w:val="18"/>
              </w:rPr>
              <w:t>Generic monitoring principles consolidated into CDI; any unique operational requirement must have an identified owner before closure.</w:t>
            </w:r>
          </w:p>
        </w:tc>
      </w:tr>
      <w:tr>
        <w:tc>
          <w:tcPr>
            <w:tcW w:type="dxa" w:w="2520"/>
            <w:vAlign w:val="center"/>
            <w:tcMar>
              <w:top w:w="90" w:type="dxa"/>
              <w:start w:w="100" w:type="dxa"/>
              <w:bottom w:w="90" w:type="dxa"/>
              <w:end w:w="100" w:type="dxa"/>
            </w:tcMar>
          </w:tcPr>
          <w:p>
            <w:pPr>
              <w:spacing w:after="0"/>
            </w:pPr>
            <w:r>
              <w:rPr>
                <w:rFonts w:ascii="Aptos" w:hAnsi="Aptos"/>
                <w:sz w:val="18"/>
              </w:rPr>
              <w:t>Records Retention &amp; Protection Policy - DRG-ISMS-POL-RRP-01-25</w:t>
            </w:r>
          </w:p>
        </w:tc>
        <w:tc>
          <w:tcPr>
            <w:tcW w:type="dxa" w:w="2520"/>
            <w:vAlign w:val="center"/>
            <w:tcMar>
              <w:top w:w="90" w:type="dxa"/>
              <w:start w:w="100" w:type="dxa"/>
              <w:bottom w:w="90" w:type="dxa"/>
              <w:end w:w="100" w:type="dxa"/>
            </w:tcMar>
          </w:tcPr>
          <w:p>
            <w:pPr>
              <w:spacing w:after="0"/>
            </w:pPr>
            <w:r>
              <w:rPr>
                <w:rFonts w:ascii="Aptos" w:hAnsi="Aptos"/>
                <w:sz w:val="18"/>
              </w:rPr>
              <w:t>Retire as active standalone retention policy on successor issue</w:t>
            </w:r>
          </w:p>
        </w:tc>
        <w:tc>
          <w:tcPr>
            <w:tcW w:type="dxa" w:w="2520"/>
            <w:vAlign w:val="center"/>
            <w:tcMar>
              <w:top w:w="90" w:type="dxa"/>
              <w:start w:w="100" w:type="dxa"/>
              <w:bottom w:w="90" w:type="dxa"/>
              <w:end w:w="100" w:type="dxa"/>
            </w:tcMar>
          </w:tcPr>
          <w:p>
            <w:pPr>
              <w:spacing w:after="0"/>
            </w:pPr>
            <w:r>
              <w:rPr>
                <w:rFonts w:ascii="Aptos" w:hAnsi="Aptos"/>
                <w:sz w:val="18"/>
              </w:rPr>
              <w:t>IRG Standard + Catalogue / Retention &amp; Disposition View</w:t>
            </w:r>
          </w:p>
        </w:tc>
        <w:tc>
          <w:tcPr>
            <w:tcW w:type="dxa" w:w="2520"/>
            <w:vAlign w:val="center"/>
            <w:tcMar>
              <w:top w:w="90" w:type="dxa"/>
              <w:start w:w="100" w:type="dxa"/>
              <w:bottom w:w="90" w:type="dxa"/>
              <w:end w:w="100" w:type="dxa"/>
            </w:tcMar>
          </w:tcPr>
          <w:p>
            <w:pPr>
              <w:spacing w:after="0"/>
            </w:pPr>
            <w:r>
              <w:rPr>
                <w:rFonts w:ascii="Aptos" w:hAnsi="Aptos"/>
                <w:sz w:val="18"/>
              </w:rPr>
              <w:t>Preserve each substantive requirement as a source input until validated at Record Name level.</w:t>
            </w:r>
          </w:p>
        </w:tc>
      </w:tr>
      <w:tr>
        <w:tc>
          <w:tcPr>
            <w:tcW w:type="dxa" w:w="2520"/>
            <w:vAlign w:val="center"/>
            <w:tcMar>
              <w:top w:w="90" w:type="dxa"/>
              <w:start w:w="100" w:type="dxa"/>
              <w:bottom w:w="90" w:type="dxa"/>
              <w:end w:w="100" w:type="dxa"/>
            </w:tcMar>
          </w:tcPr>
          <w:p>
            <w:pPr>
              <w:spacing w:after="0"/>
            </w:pPr>
            <w:r>
              <w:rPr>
                <w:rFonts w:ascii="Aptos" w:hAnsi="Aptos"/>
                <w:sz w:val="18"/>
              </w:rPr>
              <w:t>Legacy Data Retention Policy - DRG-DRP-01</w:t>
            </w:r>
          </w:p>
        </w:tc>
        <w:tc>
          <w:tcPr>
            <w:tcW w:type="dxa" w:w="2520"/>
            <w:vAlign w:val="center"/>
            <w:tcMar>
              <w:top w:w="90" w:type="dxa"/>
              <w:start w:w="100" w:type="dxa"/>
              <w:bottom w:w="90" w:type="dxa"/>
              <w:end w:w="100" w:type="dxa"/>
            </w:tcMar>
          </w:tcPr>
          <w:p>
            <w:pPr>
              <w:spacing w:after="0"/>
            </w:pPr>
            <w:r>
              <w:rPr>
                <w:rFonts w:ascii="Aptos" w:hAnsi="Aptos"/>
                <w:sz w:val="18"/>
              </w:rPr>
              <w:t>Retire as active standalone retention policy on successor issue</w:t>
            </w:r>
          </w:p>
        </w:tc>
        <w:tc>
          <w:tcPr>
            <w:tcW w:type="dxa" w:w="2520"/>
            <w:vAlign w:val="center"/>
            <w:tcMar>
              <w:top w:w="90" w:type="dxa"/>
              <w:start w:w="100" w:type="dxa"/>
              <w:bottom w:w="90" w:type="dxa"/>
              <w:end w:w="100" w:type="dxa"/>
            </w:tcMar>
          </w:tcPr>
          <w:p>
            <w:pPr>
              <w:spacing w:after="0"/>
            </w:pPr>
            <w:r>
              <w:rPr>
                <w:rFonts w:ascii="Aptos" w:hAnsi="Aptos"/>
                <w:sz w:val="18"/>
              </w:rPr>
              <w:t>IRG Standard + Catalogue / Retention &amp; Disposition View</w:t>
            </w:r>
          </w:p>
        </w:tc>
        <w:tc>
          <w:tcPr>
            <w:tcW w:type="dxa" w:w="2520"/>
            <w:vAlign w:val="center"/>
            <w:tcMar>
              <w:top w:w="90" w:type="dxa"/>
              <w:start w:w="100" w:type="dxa"/>
              <w:bottom w:w="90" w:type="dxa"/>
              <w:end w:w="100" w:type="dxa"/>
            </w:tcMar>
          </w:tcPr>
          <w:p>
            <w:pPr>
              <w:spacing w:after="0"/>
            </w:pPr>
            <w:r>
              <w:rPr>
                <w:rFonts w:ascii="Aptos" w:hAnsi="Aptos"/>
                <w:sz w:val="18"/>
              </w:rPr>
              <w:t>Preserve each substantive requirement as a source input until validated at Record Name level.</w:t>
            </w:r>
          </w:p>
        </w:tc>
      </w:tr>
      <w:tr>
        <w:tc>
          <w:tcPr>
            <w:tcW w:type="dxa" w:w="2520"/>
            <w:vAlign w:val="center"/>
            <w:tcMar>
              <w:top w:w="90" w:type="dxa"/>
              <w:start w:w="100" w:type="dxa"/>
              <w:bottom w:w="90" w:type="dxa"/>
              <w:end w:w="100" w:type="dxa"/>
            </w:tcMar>
          </w:tcPr>
          <w:p>
            <w:pPr>
              <w:spacing w:after="0"/>
            </w:pPr>
            <w:r>
              <w:rPr>
                <w:rFonts w:ascii="Aptos" w:hAnsi="Aptos"/>
                <w:sz w:val="18"/>
              </w:rPr>
              <w:t>Data Retention Policy - DRG-QI-POL-DR-01-26</w:t>
            </w:r>
          </w:p>
        </w:tc>
        <w:tc>
          <w:tcPr>
            <w:tcW w:type="dxa" w:w="2520"/>
            <w:vAlign w:val="center"/>
            <w:tcMar>
              <w:top w:w="90" w:type="dxa"/>
              <w:start w:w="100" w:type="dxa"/>
              <w:bottom w:w="90" w:type="dxa"/>
              <w:end w:w="100" w:type="dxa"/>
            </w:tcMar>
          </w:tcPr>
          <w:p>
            <w:pPr>
              <w:spacing w:after="0"/>
            </w:pPr>
            <w:r>
              <w:rPr>
                <w:rFonts w:ascii="Aptos" w:hAnsi="Aptos"/>
                <w:sz w:val="18"/>
              </w:rPr>
              <w:t>Retire as active standalone retention policy on successor issue</w:t>
            </w:r>
          </w:p>
        </w:tc>
        <w:tc>
          <w:tcPr>
            <w:tcW w:type="dxa" w:w="2520"/>
            <w:vAlign w:val="center"/>
            <w:tcMar>
              <w:top w:w="90" w:type="dxa"/>
              <w:start w:w="100" w:type="dxa"/>
              <w:bottom w:w="90" w:type="dxa"/>
              <w:end w:w="100" w:type="dxa"/>
            </w:tcMar>
          </w:tcPr>
          <w:p>
            <w:pPr>
              <w:spacing w:after="0"/>
            </w:pPr>
            <w:r>
              <w:rPr>
                <w:rFonts w:ascii="Aptos" w:hAnsi="Aptos"/>
                <w:sz w:val="18"/>
              </w:rPr>
              <w:t>IRG Standard + Catalogue / Retention &amp; Disposition View</w:t>
            </w:r>
          </w:p>
        </w:tc>
        <w:tc>
          <w:tcPr>
            <w:tcW w:type="dxa" w:w="2520"/>
            <w:vAlign w:val="center"/>
            <w:tcMar>
              <w:top w:w="90" w:type="dxa"/>
              <w:start w:w="100" w:type="dxa"/>
              <w:bottom w:w="90" w:type="dxa"/>
              <w:end w:w="100" w:type="dxa"/>
            </w:tcMar>
          </w:tcPr>
          <w:p>
            <w:pPr>
              <w:spacing w:after="0"/>
            </w:pPr>
            <w:r>
              <w:rPr>
                <w:rFonts w:ascii="Aptos" w:hAnsi="Aptos"/>
                <w:sz w:val="18"/>
              </w:rPr>
              <w:t>Preserve each substantive requirement as a source input until validated at Record Name level; conflicts are reconciled by authority and context, not silently by longest period.</w:t>
            </w:r>
          </w:p>
        </w:tc>
      </w:tr>
    </w:tbl>
    <w:p>
      <w:pPr>
        <w:pStyle w:val="Heading1"/>
      </w:pPr>
      <w:r>
        <w:t>5. What remains to be completed</w:t>
      </w:r>
    </w:p>
    <w:p>
      <w:pPr>
        <w:pStyle w:val="ListBullet"/>
      </w:pPr>
      <w:r>
        <w:t>Final approval of the successor family through the applicable CDI approval route.</w:t>
      </w:r>
    </w:p>
    <w:p>
      <w:pPr>
        <w:pStyle w:val="ListBullet"/>
      </w:pPr>
      <w:r>
        <w:t>Validation and further reduction of the rationalised Record Type taxonomy where adjacent Types can be merged without losing semantic meaning.</w:t>
      </w:r>
    </w:p>
    <w:p>
      <w:pPr>
        <w:pStyle w:val="ListBullet"/>
      </w:pPr>
      <w:r>
        <w:t>Canonicalisation and approval of Record Names in the Enterprise Records Catalogue, with stable Record IDs.</w:t>
      </w:r>
    </w:p>
    <w:p>
      <w:pPr>
        <w:pStyle w:val="ListBullet"/>
      </w:pPr>
      <w:r>
        <w:t>Validation of findability metadata with process owners/custodians: authoritative source, retrieval instruction and context-specific custody.</w:t>
      </w:r>
    </w:p>
    <w:p>
      <w:pPr>
        <w:pStyle w:val="ListBullet"/>
      </w:pPr>
      <w:r>
        <w:t>Record-level reconciliation of legacy retention authorities, followed by approval of retention, trigger, authority, disposition and destruction treatment.</w:t>
      </w:r>
    </w:p>
    <w:p>
      <w:pPr>
        <w:pStyle w:val="ListBullet"/>
      </w:pPr>
      <w:r>
        <w:t>Ongoing GRC-supported estate regularisation rather than a one-off requirement to manually inspect every document before the family can operate.</w:t>
      </w:r>
    </w:p>
    <w:p>
      <w:pPr>
        <w:pStyle w:val="Heading1"/>
      </w:pPr>
      <w:r>
        <w:t>6. Review principle for Victoria</w:t>
      </w:r>
    </w:p>
    <w:p>
      <w:r>
        <w:t>The review should test whether the family is coherent, usable and capable of becoming the single operating grammar for controlled documents and records. Temporary migration findings should be kept in the Readiness &amp; Transition Log rather than inserted back into the permanent control documents. The aim is a durable control family, not a narrative of the project that produced it.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