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A28" w:rsidRPr="00CE496C"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jc w:val="center"/>
      </w:pPr>
      <w:bookmarkStart w:id="0" w:name="_GoBack"/>
      <w:bookmarkEnd w:id="0"/>
      <w:r w:rsidRPr="00CE496C">
        <w:t>MAGIC, SCIENCE, AND RELIGION</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jc w:val="center"/>
        <w:rPr>
          <w:sz w:val="20"/>
          <w:szCs w:val="20"/>
        </w:rPr>
      </w:pPr>
      <w:r>
        <w:rPr>
          <w:sz w:val="20"/>
          <w:szCs w:val="20"/>
        </w:rPr>
        <w:t xml:space="preserve">RELIGION 20.2 </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jc w:val="center"/>
        <w:rPr>
          <w:sz w:val="20"/>
          <w:szCs w:val="20"/>
        </w:rPr>
      </w:pP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jc w:val="center"/>
      </w:pPr>
      <w:r w:rsidRPr="00CE496C">
        <w:t>Professor Benor</w:t>
      </w:r>
    </w:p>
    <w:p w:rsidR="00657A28" w:rsidRPr="00CE496C"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jc w:val="center"/>
      </w:pPr>
      <w:r>
        <w:t>Office: Thornton 304</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p>
    <w:p w:rsidR="00657A28" w:rsidRPr="00657A28" w:rsidRDefault="00657A28" w:rsidP="00657A28">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r w:rsidRPr="00657A28">
        <w:t xml:space="preserve">Is there a significant distinction to be drawn between religious and magical ritual? </w:t>
      </w:r>
    </w:p>
    <w:p w:rsidR="00657A28" w:rsidRPr="00657A28" w:rsidRDefault="00657A28" w:rsidP="00657A28">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r w:rsidRPr="00657A28">
        <w:t xml:space="preserve">What theoretical concepts might enable us to draw such a distinction? </w:t>
      </w:r>
    </w:p>
    <w:p w:rsidR="00657A28" w:rsidRPr="00657A28" w:rsidRDefault="00657A28" w:rsidP="00657A28">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r w:rsidRPr="00657A28">
        <w:t xml:space="preserve">Do magic or religion thrive in opposition to the science of their time or in congruence with it? </w:t>
      </w:r>
    </w:p>
    <w:p w:rsidR="00657A28" w:rsidRPr="00657A28" w:rsidRDefault="00657A28" w:rsidP="00657A28">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r w:rsidRPr="00657A28">
        <w:t xml:space="preserve">Can we ever hope that answers to such questions will be valid across cultures and historical periods? </w:t>
      </w:r>
    </w:p>
    <w:p w:rsidR="00657A28" w:rsidRP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r w:rsidRPr="00657A28">
        <w:t xml:space="preserve">The course will address these, and other, core theoretical questions in the Study of Religion through analysis of various configurations of relations between the categories “Religion,” “Science,” and “Magic.” Analyses will be conducted from the perspectives of Comparative Religion, History, Philosophy of Science, Anthropology, Psychology, and Cognitive Science. The course will suggest a general theory of conditions under which religion tends to be magical and conditions under which it tends not to be. </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p>
    <w:p w:rsidR="00657A28" w:rsidRP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pPr>
      <w:r w:rsidRPr="00657A28">
        <w:t>Students are invited to challenge this theory in their own research and in the final exam.</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Pr>
          <w:b/>
          <w:sz w:val="20"/>
          <w:szCs w:val="20"/>
        </w:rPr>
        <w:t>Requirements:</w:t>
      </w:r>
    </w:p>
    <w:p w:rsidR="00657A28" w:rsidRPr="00597190" w:rsidRDefault="00657A28" w:rsidP="00657A28">
      <w:pPr>
        <w:suppressAutoHyphens/>
        <w:autoSpaceDE w:val="0"/>
        <w:autoSpaceDN w:val="0"/>
        <w:adjustRightInd w:val="0"/>
        <w:spacing w:after="0" w:line="240" w:lineRule="auto"/>
        <w:rPr>
          <w:sz w:val="20"/>
          <w:szCs w:val="20"/>
        </w:rPr>
      </w:pPr>
      <w:r w:rsidRPr="00597190">
        <w:rPr>
          <w:sz w:val="20"/>
          <w:szCs w:val="20"/>
        </w:rPr>
        <w:t>Research Essay or Essays (~ 5000 words) = 75%</w:t>
      </w:r>
    </w:p>
    <w:p w:rsidR="00657A28" w:rsidRDefault="00657A28" w:rsidP="00657A28">
      <w:pPr>
        <w:pStyle w:val="ListParagraph"/>
        <w:numPr>
          <w:ilvl w:val="0"/>
          <w:numId w:val="3"/>
        </w:numPr>
        <w:suppressAutoHyphens/>
        <w:autoSpaceDE w:val="0"/>
        <w:autoSpaceDN w:val="0"/>
        <w:adjustRightInd w:val="0"/>
        <w:spacing w:after="0" w:line="240" w:lineRule="auto"/>
        <w:rPr>
          <w:sz w:val="20"/>
          <w:szCs w:val="20"/>
        </w:rPr>
      </w:pPr>
      <w:r w:rsidRPr="00597190">
        <w:rPr>
          <w:sz w:val="20"/>
          <w:szCs w:val="20"/>
        </w:rPr>
        <w:t>Option 1: a term essay to be submitted in three (3) phases.</w:t>
      </w:r>
    </w:p>
    <w:p w:rsidR="00657A28" w:rsidRPr="00597190" w:rsidRDefault="00657A28" w:rsidP="00657A28">
      <w:pPr>
        <w:pStyle w:val="ListParagraph"/>
        <w:numPr>
          <w:ilvl w:val="0"/>
          <w:numId w:val="3"/>
        </w:numPr>
        <w:suppressAutoHyphens/>
        <w:autoSpaceDE w:val="0"/>
        <w:autoSpaceDN w:val="0"/>
        <w:adjustRightInd w:val="0"/>
        <w:spacing w:after="0" w:line="240" w:lineRule="auto"/>
        <w:rPr>
          <w:sz w:val="20"/>
          <w:szCs w:val="20"/>
        </w:rPr>
      </w:pPr>
      <w:r w:rsidRPr="00597190">
        <w:rPr>
          <w:sz w:val="20"/>
          <w:szCs w:val="20"/>
        </w:rPr>
        <w:t>Option 2: three (3) short essays (~1200 words), which may at some point converge into one.</w:t>
      </w:r>
    </w:p>
    <w:p w:rsidR="00657A28" w:rsidRPr="00597190" w:rsidRDefault="00657A28" w:rsidP="00657A28">
      <w:pPr>
        <w:suppressAutoHyphens/>
        <w:autoSpaceDE w:val="0"/>
        <w:autoSpaceDN w:val="0"/>
        <w:adjustRightInd w:val="0"/>
        <w:spacing w:after="0" w:line="240" w:lineRule="auto"/>
        <w:rPr>
          <w:sz w:val="20"/>
          <w:szCs w:val="20"/>
        </w:rPr>
      </w:pPr>
      <w:r w:rsidRPr="00597190">
        <w:rPr>
          <w:sz w:val="20"/>
          <w:szCs w:val="20"/>
        </w:rPr>
        <w:t>Final take-home exam (~1000 words) = 25%.</w:t>
      </w:r>
    </w:p>
    <w:p w:rsidR="00657A28" w:rsidRDefault="00657A28" w:rsidP="00657A28">
      <w:pPr>
        <w:suppressAutoHyphens/>
        <w:autoSpaceDE w:val="0"/>
        <w:autoSpaceDN w:val="0"/>
        <w:adjustRightInd w:val="0"/>
        <w:spacing w:after="0" w:line="240" w:lineRule="auto"/>
        <w:rPr>
          <w:sz w:val="20"/>
          <w:szCs w:val="20"/>
        </w:rPr>
      </w:pPr>
    </w:p>
    <w:p w:rsidR="00657A28" w:rsidRDefault="00657A28" w:rsidP="00657A28">
      <w:pPr>
        <w:suppressAutoHyphens/>
        <w:autoSpaceDE w:val="0"/>
        <w:autoSpaceDN w:val="0"/>
        <w:adjustRightInd w:val="0"/>
        <w:spacing w:after="0" w:line="240" w:lineRule="auto"/>
        <w:rPr>
          <w:sz w:val="20"/>
          <w:szCs w:val="24"/>
        </w:rPr>
      </w:pPr>
      <w:r>
        <w:rPr>
          <w:b/>
          <w:sz w:val="20"/>
          <w:szCs w:val="24"/>
          <w:u w:val="single"/>
        </w:rPr>
        <w:t>Required Books</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4"/>
        </w:rPr>
      </w:pPr>
      <w:r>
        <w:rPr>
          <w:sz w:val="20"/>
          <w:szCs w:val="24"/>
        </w:rPr>
        <w:t xml:space="preserve">Evans-Pritchard, </w:t>
      </w:r>
      <w:r>
        <w:rPr>
          <w:i/>
          <w:sz w:val="20"/>
          <w:szCs w:val="24"/>
        </w:rPr>
        <w:t xml:space="preserve">Witchcraft, Oracles and Magic among the </w:t>
      </w:r>
      <w:proofErr w:type="spellStart"/>
      <w:r>
        <w:rPr>
          <w:i/>
          <w:sz w:val="20"/>
          <w:szCs w:val="24"/>
        </w:rPr>
        <w:t>Azande</w:t>
      </w:r>
      <w:proofErr w:type="spellEnd"/>
      <w:r>
        <w:rPr>
          <w:sz w:val="20"/>
          <w:szCs w:val="24"/>
        </w:rPr>
        <w:t>, Oxford UP: 1976.</w:t>
      </w:r>
    </w:p>
    <w:p w:rsidR="00657A28" w:rsidRPr="004A7C1C"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4"/>
        </w:rPr>
      </w:pPr>
      <w:r>
        <w:rPr>
          <w:sz w:val="20"/>
          <w:szCs w:val="24"/>
        </w:rPr>
        <w:t xml:space="preserve">Goodman, </w:t>
      </w:r>
      <w:r>
        <w:rPr>
          <w:i/>
          <w:iCs/>
          <w:sz w:val="20"/>
          <w:szCs w:val="24"/>
        </w:rPr>
        <w:t>Fact, Fiction, and Forecast</w:t>
      </w:r>
      <w:r>
        <w:rPr>
          <w:sz w:val="20"/>
          <w:szCs w:val="24"/>
        </w:rPr>
        <w:t>, Harvard UP: 2006 (1983).</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4"/>
        </w:rPr>
      </w:pPr>
      <w:r>
        <w:rPr>
          <w:sz w:val="20"/>
          <w:szCs w:val="24"/>
        </w:rPr>
        <w:t xml:space="preserve">Malinowski, </w:t>
      </w:r>
      <w:r w:rsidRPr="00DB2B25">
        <w:rPr>
          <w:i/>
          <w:iCs/>
          <w:sz w:val="20"/>
          <w:szCs w:val="24"/>
        </w:rPr>
        <w:t>M</w:t>
      </w:r>
      <w:r>
        <w:rPr>
          <w:i/>
          <w:sz w:val="20"/>
          <w:szCs w:val="24"/>
        </w:rPr>
        <w:t>agic, Science and Religion and Other Essays</w:t>
      </w:r>
      <w:r>
        <w:rPr>
          <w:sz w:val="20"/>
          <w:szCs w:val="24"/>
        </w:rPr>
        <w:t>, Waveland Press: 1992.</w:t>
      </w: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4"/>
        </w:rPr>
      </w:pPr>
    </w:p>
    <w:p w:rsidR="00657A28" w:rsidRDefault="00657A28" w:rsidP="0065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4"/>
        </w:rPr>
      </w:pPr>
    </w:p>
    <w:p w:rsidR="00B95FD0" w:rsidRPr="00657A28" w:rsidRDefault="00657A28" w:rsidP="00657A28">
      <w:pPr>
        <w:jc w:val="center"/>
        <w:rPr>
          <w:b/>
          <w:bCs/>
          <w:sz w:val="24"/>
          <w:szCs w:val="24"/>
        </w:rPr>
      </w:pPr>
      <w:r w:rsidRPr="00657A28">
        <w:rPr>
          <w:b/>
          <w:bCs/>
          <w:sz w:val="24"/>
          <w:szCs w:val="24"/>
        </w:rPr>
        <w:t>Schedule</w:t>
      </w:r>
    </w:p>
    <w:p w:rsidR="00976617" w:rsidRDefault="00976617" w:rsidP="00976617">
      <w:pPr>
        <w:pStyle w:val="ListParagraph"/>
        <w:numPr>
          <w:ilvl w:val="0"/>
          <w:numId w:val="1"/>
        </w:numPr>
        <w:shd w:val="clear" w:color="auto" w:fill="DEEAF6" w:themeFill="accent1" w:themeFillTint="33"/>
        <w:rPr>
          <w:sz w:val="24"/>
          <w:szCs w:val="24"/>
        </w:rPr>
      </w:pPr>
      <w:r w:rsidRPr="00976617">
        <w:rPr>
          <w:sz w:val="24"/>
          <w:szCs w:val="24"/>
        </w:rPr>
        <w:t>Introduction</w:t>
      </w:r>
    </w:p>
    <w:p w:rsidR="009A104B" w:rsidRDefault="005138CC" w:rsidP="005138CC">
      <w:pPr>
        <w:pStyle w:val="ListParagraph"/>
        <w:numPr>
          <w:ilvl w:val="1"/>
          <w:numId w:val="1"/>
        </w:numPr>
        <w:shd w:val="clear" w:color="auto" w:fill="FFFFFF" w:themeFill="background1"/>
        <w:rPr>
          <w:sz w:val="24"/>
          <w:szCs w:val="24"/>
        </w:rPr>
      </w:pPr>
      <w:r w:rsidRPr="005138CC">
        <w:rPr>
          <w:sz w:val="24"/>
          <w:szCs w:val="24"/>
        </w:rPr>
        <w:t>The Argument of the Course</w:t>
      </w:r>
    </w:p>
    <w:p w:rsidR="008D4795" w:rsidRPr="008D4795" w:rsidRDefault="005138CC" w:rsidP="00742D7E">
      <w:pPr>
        <w:pStyle w:val="ListParagraph"/>
        <w:numPr>
          <w:ilvl w:val="1"/>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8D4795">
        <w:rPr>
          <w:sz w:val="24"/>
          <w:szCs w:val="24"/>
        </w:rPr>
        <w:t>Is religion necessarily magical?</w:t>
      </w:r>
    </w:p>
    <w:p w:rsidR="008D4795" w:rsidRPr="008D4795" w:rsidRDefault="008D4795" w:rsidP="008D4795">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8D4795">
        <w:rPr>
          <w:sz w:val="20"/>
          <w:szCs w:val="20"/>
        </w:rPr>
        <w:t>Spiro. “Religion: Problems of Definition and Explanation” (1966)</w:t>
      </w:r>
    </w:p>
    <w:p w:rsidR="008D4795" w:rsidRPr="008D4795" w:rsidRDefault="008D4795" w:rsidP="008D4795">
      <w:pPr>
        <w:pStyle w:val="ListParagraph"/>
        <w:numPr>
          <w:ilvl w:val="2"/>
          <w:numId w:val="1"/>
        </w:numPr>
        <w:shd w:val="clear" w:color="auto" w:fill="FFFFFF" w:themeFill="background1"/>
        <w:rPr>
          <w:sz w:val="24"/>
          <w:szCs w:val="24"/>
        </w:rPr>
      </w:pPr>
      <w:r>
        <w:rPr>
          <w:sz w:val="20"/>
          <w:szCs w:val="20"/>
        </w:rPr>
        <w:t>Guthrie. “Religion: What is it?”</w:t>
      </w:r>
    </w:p>
    <w:p w:rsidR="008D4795" w:rsidRPr="008D4795" w:rsidRDefault="008D4795" w:rsidP="004755F1">
      <w:pPr>
        <w:pStyle w:val="ListParagraph"/>
        <w:numPr>
          <w:ilvl w:val="2"/>
          <w:numId w:val="1"/>
        </w:numPr>
        <w:shd w:val="clear" w:color="auto" w:fill="FFFFFF" w:themeFill="background1"/>
        <w:rPr>
          <w:sz w:val="24"/>
          <w:szCs w:val="24"/>
        </w:rPr>
      </w:pPr>
      <w:r w:rsidRPr="008D4795">
        <w:rPr>
          <w:sz w:val="20"/>
          <w:szCs w:val="20"/>
        </w:rPr>
        <w:t xml:space="preserve">Berger. </w:t>
      </w:r>
      <w:r w:rsidRPr="008D4795">
        <w:rPr>
          <w:i/>
          <w:sz w:val="20"/>
          <w:szCs w:val="20"/>
        </w:rPr>
        <w:t>The Sacred Canopy</w:t>
      </w:r>
      <w:r w:rsidRPr="008D4795">
        <w:rPr>
          <w:sz w:val="20"/>
          <w:szCs w:val="20"/>
        </w:rPr>
        <w:t xml:space="preserve">, Chapters 1-2. </w:t>
      </w:r>
    </w:p>
    <w:p w:rsidR="008D4795" w:rsidRPr="008D4795" w:rsidRDefault="008D4795" w:rsidP="004755F1">
      <w:pPr>
        <w:pStyle w:val="ListParagraph"/>
        <w:numPr>
          <w:ilvl w:val="2"/>
          <w:numId w:val="1"/>
        </w:numPr>
        <w:shd w:val="clear" w:color="auto" w:fill="FFFFFF" w:themeFill="background1"/>
        <w:rPr>
          <w:sz w:val="24"/>
          <w:szCs w:val="24"/>
        </w:rPr>
      </w:pPr>
      <w:r>
        <w:rPr>
          <w:sz w:val="20"/>
          <w:szCs w:val="20"/>
        </w:rPr>
        <w:t>[Guthrie. “Why Gods? A Cognitive Theory”]</w:t>
      </w:r>
    </w:p>
    <w:p w:rsidR="00976617" w:rsidRDefault="00976617" w:rsidP="00976617">
      <w:pPr>
        <w:pStyle w:val="ListParagraph"/>
        <w:numPr>
          <w:ilvl w:val="0"/>
          <w:numId w:val="1"/>
        </w:numPr>
        <w:shd w:val="clear" w:color="auto" w:fill="DEEAF6" w:themeFill="accent1" w:themeFillTint="33"/>
        <w:rPr>
          <w:sz w:val="24"/>
          <w:szCs w:val="24"/>
        </w:rPr>
      </w:pPr>
      <w:r>
        <w:rPr>
          <w:sz w:val="24"/>
          <w:szCs w:val="24"/>
        </w:rPr>
        <w:t>Modern MSR</w:t>
      </w:r>
    </w:p>
    <w:p w:rsidR="003A42AD" w:rsidRPr="003A42AD" w:rsidRDefault="005138CC" w:rsidP="00DC59C7">
      <w:pPr>
        <w:pStyle w:val="ListParagraph"/>
        <w:numPr>
          <w:ilvl w:val="1"/>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3A42AD">
        <w:rPr>
          <w:sz w:val="24"/>
          <w:szCs w:val="24"/>
        </w:rPr>
        <w:t>Modernity</w:t>
      </w:r>
    </w:p>
    <w:p w:rsidR="003A42AD" w:rsidRDefault="003A42AD" w:rsidP="003A42AD">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3A42AD">
        <w:rPr>
          <w:rFonts w:eastAsia="Times New Roman" w:cs="Times New Roman"/>
          <w:sz w:val="20"/>
          <w:szCs w:val="20"/>
          <w:lang w:eastAsia="en-US"/>
          <w14:ligatures w14:val="none"/>
        </w:rPr>
        <w:t xml:space="preserve">Weber.  </w:t>
      </w:r>
      <w:r w:rsidRPr="003A42AD">
        <w:rPr>
          <w:rFonts w:eastAsia="Times New Roman" w:cs="Times New Roman"/>
          <w:i/>
          <w:sz w:val="20"/>
          <w:szCs w:val="20"/>
          <w:lang w:eastAsia="en-US"/>
          <w14:ligatures w14:val="none"/>
        </w:rPr>
        <w:t>Sociology of Religion</w:t>
      </w:r>
      <w:r w:rsidRPr="003A42AD">
        <w:rPr>
          <w:rFonts w:eastAsia="Times New Roman" w:cs="Times New Roman"/>
          <w:sz w:val="20"/>
          <w:szCs w:val="20"/>
          <w:lang w:eastAsia="en-US"/>
          <w14:ligatures w14:val="none"/>
        </w:rPr>
        <w:t>, Chapter. 3 “The idea of God, Religious Ethics, and Taboo”</w:t>
      </w:r>
      <w:r w:rsidRPr="003A42AD">
        <w:rPr>
          <w:sz w:val="20"/>
          <w:szCs w:val="20"/>
        </w:rPr>
        <w:t xml:space="preserve"> </w:t>
      </w:r>
    </w:p>
    <w:p w:rsidR="006F30FB" w:rsidRPr="006F30FB" w:rsidRDefault="003A42AD" w:rsidP="005E5EAC">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rFonts w:eastAsia="Times New Roman" w:cs="Times New Roman"/>
          <w:sz w:val="24"/>
          <w:szCs w:val="24"/>
          <w:lang w:eastAsia="en-US"/>
          <w14:ligatures w14:val="none"/>
        </w:rPr>
      </w:pPr>
      <w:proofErr w:type="spellStart"/>
      <w:r w:rsidRPr="006F30FB">
        <w:rPr>
          <w:sz w:val="20"/>
          <w:szCs w:val="20"/>
        </w:rPr>
        <w:t>Styers</w:t>
      </w:r>
      <w:proofErr w:type="spellEnd"/>
      <w:r w:rsidRPr="006F30FB">
        <w:rPr>
          <w:sz w:val="20"/>
          <w:szCs w:val="20"/>
        </w:rPr>
        <w:t xml:space="preserve">. </w:t>
      </w:r>
      <w:r w:rsidRPr="006F30FB">
        <w:rPr>
          <w:i/>
          <w:sz w:val="20"/>
          <w:szCs w:val="20"/>
        </w:rPr>
        <w:t>Making Magic: Religion, Magic and Science in the Modern World</w:t>
      </w:r>
      <w:r w:rsidRPr="006F30FB">
        <w:rPr>
          <w:sz w:val="20"/>
          <w:szCs w:val="20"/>
        </w:rPr>
        <w:t>, 25-68</w:t>
      </w:r>
    </w:p>
    <w:p w:rsidR="006F30FB" w:rsidRPr="006F30FB" w:rsidRDefault="005E5EAC" w:rsidP="005E5EAC">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rFonts w:eastAsia="Times New Roman" w:cs="Times New Roman"/>
          <w:sz w:val="20"/>
          <w:szCs w:val="20"/>
          <w:lang w:eastAsia="en-US"/>
          <w14:ligatures w14:val="none"/>
        </w:rPr>
      </w:pPr>
      <w:r>
        <w:rPr>
          <w:rFonts w:eastAsia="Times New Roman" w:cs="Times New Roman"/>
          <w:sz w:val="20"/>
          <w:szCs w:val="20"/>
          <w:lang w:eastAsia="en-US"/>
          <w14:ligatures w14:val="none"/>
        </w:rPr>
        <w:t>[</w:t>
      </w:r>
      <w:proofErr w:type="spellStart"/>
      <w:r w:rsidR="006F30FB" w:rsidRPr="006F30FB">
        <w:rPr>
          <w:rFonts w:eastAsia="Times New Roman" w:cs="Times New Roman"/>
          <w:sz w:val="20"/>
          <w:szCs w:val="20"/>
          <w:lang w:eastAsia="en-US"/>
          <w14:ligatures w14:val="none"/>
        </w:rPr>
        <w:t>Kieckhefer</w:t>
      </w:r>
      <w:proofErr w:type="spellEnd"/>
      <w:r w:rsidR="006F30FB" w:rsidRPr="006F30FB">
        <w:rPr>
          <w:rFonts w:eastAsia="Times New Roman" w:cs="Times New Roman"/>
          <w:sz w:val="20"/>
          <w:szCs w:val="20"/>
          <w:lang w:eastAsia="en-US"/>
          <w14:ligatures w14:val="none"/>
        </w:rPr>
        <w:t xml:space="preserve">, R. “The Specific Rationality of Medieval Magic.” </w:t>
      </w:r>
      <w:r w:rsidR="006F30FB" w:rsidRPr="006F30FB">
        <w:rPr>
          <w:rFonts w:eastAsia="Times New Roman" w:cs="Times New Roman"/>
          <w:i/>
          <w:iCs/>
          <w:sz w:val="20"/>
          <w:szCs w:val="20"/>
          <w:lang w:eastAsia="en-US"/>
          <w14:ligatures w14:val="none"/>
        </w:rPr>
        <w:t>The American Historical Review</w:t>
      </w:r>
      <w:r w:rsidR="006F30FB" w:rsidRPr="006F30FB">
        <w:rPr>
          <w:rFonts w:eastAsia="Times New Roman" w:cs="Times New Roman"/>
          <w:sz w:val="20"/>
          <w:szCs w:val="20"/>
          <w:lang w:eastAsia="en-US"/>
          <w14:ligatures w14:val="none"/>
        </w:rPr>
        <w:t xml:space="preserve"> 99, no. 3 (1994): 813–836.</w:t>
      </w:r>
      <w:r>
        <w:rPr>
          <w:rFonts w:eastAsia="Times New Roman" w:cs="Times New Roman"/>
          <w:sz w:val="20"/>
          <w:szCs w:val="20"/>
          <w:lang w:eastAsia="en-US"/>
          <w14:ligatures w14:val="none"/>
        </w:rPr>
        <w:t>]</w:t>
      </w:r>
    </w:p>
    <w:p w:rsidR="00F32951" w:rsidRPr="00F32951" w:rsidRDefault="005138CC" w:rsidP="00065C4B">
      <w:pPr>
        <w:pStyle w:val="ListParagraph"/>
        <w:numPr>
          <w:ilvl w:val="1"/>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F32951">
        <w:rPr>
          <w:sz w:val="24"/>
          <w:szCs w:val="24"/>
        </w:rPr>
        <w:t>Modern conception of MSR</w:t>
      </w:r>
    </w:p>
    <w:p w:rsidR="00F32951" w:rsidRDefault="00F32951" w:rsidP="005A6082">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F32951">
        <w:rPr>
          <w:sz w:val="20"/>
          <w:szCs w:val="20"/>
        </w:rPr>
        <w:t>Weber</w:t>
      </w:r>
      <w:r w:rsidRPr="00F32951">
        <w:rPr>
          <w:i/>
          <w:sz w:val="20"/>
          <w:szCs w:val="20"/>
        </w:rPr>
        <w:t>. The Protestant Ethic</w:t>
      </w:r>
      <w:r w:rsidRPr="00F32951">
        <w:rPr>
          <w:sz w:val="20"/>
          <w:szCs w:val="20"/>
        </w:rPr>
        <w:t xml:space="preserve">, </w:t>
      </w:r>
      <w:r w:rsidR="005A6082">
        <w:rPr>
          <w:sz w:val="20"/>
          <w:szCs w:val="20"/>
        </w:rPr>
        <w:t>Chapter</w:t>
      </w:r>
      <w:r w:rsidRPr="00F32951">
        <w:rPr>
          <w:sz w:val="20"/>
          <w:szCs w:val="20"/>
        </w:rPr>
        <w:t>. 4 “Religious Foundations of This-Worldly Asceticism</w:t>
      </w:r>
      <w:r>
        <w:rPr>
          <w:sz w:val="20"/>
          <w:szCs w:val="20"/>
        </w:rPr>
        <w:t>.</w:t>
      </w:r>
      <w:r w:rsidRPr="00F32951">
        <w:rPr>
          <w:sz w:val="20"/>
          <w:szCs w:val="20"/>
        </w:rPr>
        <w:t xml:space="preserve">” </w:t>
      </w:r>
    </w:p>
    <w:p w:rsidR="00F32951" w:rsidRDefault="00F32951" w:rsidP="00F32951">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F32951">
        <w:rPr>
          <w:sz w:val="20"/>
          <w:szCs w:val="20"/>
        </w:rPr>
        <w:lastRenderedPageBreak/>
        <w:t xml:space="preserve">Spinoza. </w:t>
      </w:r>
      <w:r w:rsidRPr="00F32951">
        <w:rPr>
          <w:i/>
          <w:sz w:val="20"/>
          <w:szCs w:val="20"/>
        </w:rPr>
        <w:t>Theological Political Tractate</w:t>
      </w:r>
      <w:r w:rsidRPr="00F32951">
        <w:rPr>
          <w:sz w:val="20"/>
          <w:szCs w:val="20"/>
        </w:rPr>
        <w:t xml:space="preserve">, Preface </w:t>
      </w:r>
    </w:p>
    <w:p w:rsidR="00F32951" w:rsidRPr="00F32951" w:rsidRDefault="00F32951" w:rsidP="00F32951">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F32951">
        <w:rPr>
          <w:sz w:val="20"/>
          <w:szCs w:val="20"/>
        </w:rPr>
        <w:t>[Benor. “Spinoza’s Theory of Religion”]</w:t>
      </w:r>
      <w:r w:rsidRPr="00F32951">
        <w:rPr>
          <w:sz w:val="20"/>
          <w:szCs w:val="20"/>
        </w:rPr>
        <w:br/>
        <w:t>Berger.</w:t>
      </w:r>
      <w:r w:rsidRPr="00F32951">
        <w:rPr>
          <w:i/>
          <w:sz w:val="20"/>
          <w:szCs w:val="20"/>
        </w:rPr>
        <w:t xml:space="preserve"> Rumor of Angels</w:t>
      </w:r>
      <w:r w:rsidRPr="00F32951">
        <w:rPr>
          <w:sz w:val="20"/>
          <w:szCs w:val="20"/>
        </w:rPr>
        <w:t>. Ch. 1 “The Alleged Demise of the Supernatural.”</w:t>
      </w:r>
    </w:p>
    <w:p w:rsidR="00F32951" w:rsidRPr="00F32951" w:rsidRDefault="00F32951" w:rsidP="00F32951">
      <w:pPr>
        <w:pStyle w:val="ListParagraph"/>
        <w:numPr>
          <w:ilvl w:val="2"/>
          <w:numId w:val="1"/>
        </w:numPr>
        <w:spacing w:after="0" w:line="240" w:lineRule="auto"/>
        <w:rPr>
          <w:rFonts w:eastAsia="Times New Roman" w:cs="Times New Roman"/>
          <w:sz w:val="20"/>
          <w:szCs w:val="20"/>
          <w:lang w:eastAsia="en-US"/>
          <w14:ligatures w14:val="none"/>
        </w:rPr>
      </w:pPr>
      <w:r>
        <w:rPr>
          <w:rFonts w:eastAsia="Times New Roman" w:cs="Times New Roman"/>
          <w:sz w:val="20"/>
          <w:szCs w:val="20"/>
          <w:lang w:eastAsia="en-US"/>
          <w14:ligatures w14:val="none"/>
        </w:rPr>
        <w:t>[</w:t>
      </w:r>
      <w:r w:rsidRPr="00F32951">
        <w:rPr>
          <w:rFonts w:eastAsia="Times New Roman" w:cs="Times New Roman"/>
          <w:sz w:val="20"/>
          <w:szCs w:val="20"/>
          <w:lang w:eastAsia="en-US"/>
          <w14:ligatures w14:val="none"/>
        </w:rPr>
        <w:t xml:space="preserve">Cassirer, Ernst. “Newton and Leibniz.” </w:t>
      </w:r>
      <w:r w:rsidRPr="00F32951">
        <w:rPr>
          <w:rFonts w:eastAsia="Times New Roman" w:cs="Times New Roman"/>
          <w:i/>
          <w:iCs/>
          <w:sz w:val="20"/>
          <w:szCs w:val="20"/>
          <w:lang w:eastAsia="en-US"/>
          <w14:ligatures w14:val="none"/>
        </w:rPr>
        <w:t>The Philosophical Review</w:t>
      </w:r>
      <w:r w:rsidRPr="00F32951">
        <w:rPr>
          <w:rFonts w:eastAsia="Times New Roman" w:cs="Times New Roman"/>
          <w:sz w:val="20"/>
          <w:szCs w:val="20"/>
          <w:lang w:eastAsia="en-US"/>
          <w14:ligatures w14:val="none"/>
        </w:rPr>
        <w:t xml:space="preserve"> (1943): 366–391.</w:t>
      </w:r>
      <w:r>
        <w:rPr>
          <w:rFonts w:eastAsia="Times New Roman" w:cs="Times New Roman"/>
          <w:sz w:val="20"/>
          <w:szCs w:val="20"/>
          <w:lang w:eastAsia="en-US"/>
          <w14:ligatures w14:val="none"/>
        </w:rPr>
        <w:t>]</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Decline of Magic</w:t>
      </w:r>
    </w:p>
    <w:p w:rsidR="00DB033F" w:rsidRDefault="005A6082" w:rsidP="005A6082">
      <w:pPr>
        <w:pStyle w:val="ListParagraph"/>
        <w:numPr>
          <w:ilvl w:val="2"/>
          <w:numId w:val="1"/>
        </w:numPr>
        <w:shd w:val="clear" w:color="auto" w:fill="FFFFFF" w:themeFill="background1"/>
        <w:rPr>
          <w:sz w:val="24"/>
          <w:szCs w:val="24"/>
        </w:rPr>
      </w:pPr>
      <w:r w:rsidRPr="005A6082">
        <w:rPr>
          <w:rFonts w:eastAsia="Times New Roman" w:cs="Times New Roman"/>
          <w:sz w:val="20"/>
          <w:szCs w:val="20"/>
          <w:lang w:eastAsia="en-US"/>
          <w14:ligatures w14:val="none"/>
        </w:rPr>
        <w:t xml:space="preserve">Thomas. </w:t>
      </w:r>
      <w:r w:rsidRPr="005A6082">
        <w:rPr>
          <w:rFonts w:eastAsia="Times New Roman" w:cs="Times New Roman"/>
          <w:i/>
          <w:sz w:val="20"/>
          <w:szCs w:val="20"/>
          <w:lang w:eastAsia="en-US"/>
          <w14:ligatures w14:val="none"/>
        </w:rPr>
        <w:t>Religion and the Decline of Magic</w:t>
      </w:r>
      <w:r w:rsidRPr="005A6082">
        <w:rPr>
          <w:rFonts w:eastAsia="Times New Roman" w:cs="Times New Roman"/>
          <w:sz w:val="20"/>
          <w:szCs w:val="20"/>
          <w:lang w:eastAsia="en-US"/>
          <w14:ligatures w14:val="none"/>
        </w:rPr>
        <w:t xml:space="preserve">, </w:t>
      </w:r>
      <w:r>
        <w:rPr>
          <w:rFonts w:eastAsia="Times New Roman" w:cs="Times New Roman"/>
          <w:sz w:val="20"/>
          <w:szCs w:val="20"/>
          <w:lang w:eastAsia="en-US"/>
          <w14:ligatures w14:val="none"/>
        </w:rPr>
        <w:t>Chapters</w:t>
      </w:r>
      <w:r w:rsidRPr="005A6082">
        <w:rPr>
          <w:rFonts w:eastAsia="Times New Roman" w:cs="Times New Roman"/>
          <w:sz w:val="20"/>
          <w:szCs w:val="20"/>
          <w:lang w:eastAsia="en-US"/>
          <w14:ligatures w14:val="none"/>
        </w:rPr>
        <w:t>. 3, 21-22</w:t>
      </w:r>
    </w:p>
    <w:p w:rsidR="00976617" w:rsidRDefault="00976617" w:rsidP="00976617">
      <w:pPr>
        <w:pStyle w:val="ListParagraph"/>
        <w:numPr>
          <w:ilvl w:val="0"/>
          <w:numId w:val="1"/>
        </w:numPr>
        <w:shd w:val="clear" w:color="auto" w:fill="DEEAF6" w:themeFill="accent1" w:themeFillTint="33"/>
        <w:rPr>
          <w:sz w:val="24"/>
          <w:szCs w:val="24"/>
        </w:rPr>
      </w:pPr>
      <w:r>
        <w:rPr>
          <w:sz w:val="24"/>
          <w:szCs w:val="24"/>
        </w:rPr>
        <w:t>Medieval MSR</w:t>
      </w:r>
    </w:p>
    <w:p w:rsidR="009A104B" w:rsidRDefault="005138CC" w:rsidP="009A104B">
      <w:pPr>
        <w:pStyle w:val="ListParagraph"/>
        <w:numPr>
          <w:ilvl w:val="1"/>
          <w:numId w:val="1"/>
        </w:numPr>
        <w:shd w:val="clear" w:color="auto" w:fill="FFFFFF" w:themeFill="background1"/>
        <w:rPr>
          <w:sz w:val="24"/>
          <w:szCs w:val="24"/>
        </w:rPr>
      </w:pPr>
      <w:r w:rsidRPr="005138CC">
        <w:rPr>
          <w:sz w:val="24"/>
          <w:szCs w:val="24"/>
        </w:rPr>
        <w:t>The Medieval World-View</w:t>
      </w:r>
    </w:p>
    <w:p w:rsidR="00827CF6" w:rsidRPr="00827CF6" w:rsidRDefault="00827CF6" w:rsidP="00827CF6">
      <w:pPr>
        <w:pStyle w:val="ListParagraph"/>
        <w:numPr>
          <w:ilvl w:val="2"/>
          <w:numId w:val="1"/>
        </w:numPr>
        <w:shd w:val="clear" w:color="auto" w:fill="FFFFFF" w:themeFill="background1"/>
        <w:rPr>
          <w:sz w:val="24"/>
          <w:szCs w:val="24"/>
        </w:rPr>
      </w:pPr>
      <w:proofErr w:type="spellStart"/>
      <w:r>
        <w:rPr>
          <w:sz w:val="20"/>
          <w:szCs w:val="20"/>
        </w:rPr>
        <w:t>Feyerabend</w:t>
      </w:r>
      <w:proofErr w:type="spellEnd"/>
      <w:r>
        <w:rPr>
          <w:sz w:val="20"/>
          <w:szCs w:val="20"/>
        </w:rPr>
        <w:t>, “The Strange Case of Astrology”</w:t>
      </w:r>
    </w:p>
    <w:p w:rsidR="00827CF6" w:rsidRPr="00827CF6" w:rsidRDefault="00827CF6" w:rsidP="00827CF6">
      <w:pPr>
        <w:pStyle w:val="ListParagraph"/>
        <w:numPr>
          <w:ilvl w:val="2"/>
          <w:numId w:val="1"/>
        </w:numPr>
        <w:shd w:val="clear" w:color="auto" w:fill="FFFFFF" w:themeFill="background1"/>
        <w:rPr>
          <w:sz w:val="24"/>
          <w:szCs w:val="24"/>
        </w:rPr>
      </w:pPr>
      <w:proofErr w:type="spellStart"/>
      <w:r>
        <w:rPr>
          <w:sz w:val="20"/>
          <w:szCs w:val="20"/>
        </w:rPr>
        <w:t>Kieckhefer</w:t>
      </w:r>
      <w:proofErr w:type="spellEnd"/>
      <w:r>
        <w:rPr>
          <w:sz w:val="20"/>
          <w:szCs w:val="20"/>
        </w:rPr>
        <w:t xml:space="preserve">, </w:t>
      </w:r>
      <w:r>
        <w:rPr>
          <w:i/>
          <w:sz w:val="20"/>
          <w:szCs w:val="20"/>
        </w:rPr>
        <w:t>Magic in the Middle-Ages</w:t>
      </w:r>
      <w:r>
        <w:rPr>
          <w:sz w:val="20"/>
          <w:szCs w:val="20"/>
        </w:rPr>
        <w:t>, Chapter. 6 “Arabic Learning and the Occult Sciences”</w:t>
      </w:r>
    </w:p>
    <w:p w:rsidR="005A6082" w:rsidRDefault="00827CF6" w:rsidP="00CE6B8D">
      <w:pPr>
        <w:pStyle w:val="ListParagraph"/>
        <w:numPr>
          <w:ilvl w:val="2"/>
          <w:numId w:val="1"/>
        </w:numPr>
        <w:shd w:val="clear" w:color="auto" w:fill="FFFFFF" w:themeFill="background1"/>
        <w:rPr>
          <w:sz w:val="24"/>
          <w:szCs w:val="24"/>
        </w:rPr>
      </w:pPr>
      <w:r>
        <w:rPr>
          <w:sz w:val="20"/>
          <w:szCs w:val="20"/>
        </w:rPr>
        <w:t xml:space="preserve">[Flint, </w:t>
      </w:r>
      <w:r>
        <w:rPr>
          <w:i/>
          <w:sz w:val="20"/>
          <w:szCs w:val="20"/>
        </w:rPr>
        <w:t>The Rise of Magic in Early Medieval Europe</w:t>
      </w:r>
      <w:r>
        <w:rPr>
          <w:sz w:val="20"/>
          <w:szCs w:val="20"/>
        </w:rPr>
        <w:t>, Chapter.4]</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Nature &amp; Bewitchment</w:t>
      </w:r>
    </w:p>
    <w:p w:rsidR="00157115" w:rsidRPr="00157115" w:rsidRDefault="00157115" w:rsidP="00157115">
      <w:pPr>
        <w:pStyle w:val="ListParagraph"/>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rFonts w:cs="Times New Roman"/>
          <w:sz w:val="24"/>
          <w:szCs w:val="24"/>
        </w:rPr>
      </w:pPr>
      <w:r w:rsidRPr="00157115">
        <w:rPr>
          <w:sz w:val="20"/>
          <w:szCs w:val="20"/>
        </w:rPr>
        <w:t xml:space="preserve">Plotinus, </w:t>
      </w:r>
      <w:r w:rsidRPr="00157115">
        <w:rPr>
          <w:i/>
          <w:sz w:val="20"/>
          <w:szCs w:val="20"/>
        </w:rPr>
        <w:t>Enneads</w:t>
      </w:r>
      <w:r w:rsidRPr="00157115">
        <w:rPr>
          <w:sz w:val="20"/>
          <w:szCs w:val="20"/>
        </w:rPr>
        <w:t xml:space="preserve"> IV.4.2 “Problems of the Soul” </w:t>
      </w:r>
    </w:p>
    <w:p w:rsidR="00157115" w:rsidRPr="00157115" w:rsidRDefault="00157115" w:rsidP="00157115">
      <w:pPr>
        <w:pStyle w:val="ListParagraph"/>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rFonts w:cs="Times New Roman"/>
          <w:sz w:val="20"/>
          <w:szCs w:val="20"/>
        </w:rPr>
      </w:pPr>
      <w:r w:rsidRPr="00157115">
        <w:rPr>
          <w:rFonts w:cs="Times New Roman"/>
          <w:sz w:val="20"/>
          <w:szCs w:val="20"/>
        </w:rPr>
        <w:t>Audio: Peter Adamson “A God is My Co-Pilot: the Life and Works of Plotinus”</w:t>
      </w:r>
    </w:p>
    <w:p w:rsidR="00157115" w:rsidRPr="008163FC" w:rsidRDefault="008163FC" w:rsidP="00241A9C">
      <w:pPr>
        <w:pStyle w:val="ListParagraph"/>
        <w:numPr>
          <w:ilvl w:val="2"/>
          <w:numId w:val="1"/>
        </w:numPr>
        <w:shd w:val="clear" w:color="auto" w:fill="FFFFFF" w:themeFill="background1"/>
        <w:rPr>
          <w:sz w:val="20"/>
          <w:szCs w:val="20"/>
        </w:rPr>
      </w:pPr>
      <w:r>
        <w:rPr>
          <w:sz w:val="20"/>
          <w:szCs w:val="20"/>
        </w:rPr>
        <w:t>[</w:t>
      </w:r>
      <w:proofErr w:type="spellStart"/>
      <w:r w:rsidRPr="008163FC">
        <w:rPr>
          <w:sz w:val="20"/>
          <w:szCs w:val="20"/>
        </w:rPr>
        <w:t>Gerson</w:t>
      </w:r>
      <w:proofErr w:type="spellEnd"/>
      <w:r w:rsidRPr="008163FC">
        <w:rPr>
          <w:sz w:val="20"/>
          <w:szCs w:val="20"/>
        </w:rPr>
        <w:t xml:space="preserve">, Lloyd, </w:t>
      </w:r>
      <w:r>
        <w:rPr>
          <w:sz w:val="20"/>
          <w:szCs w:val="20"/>
        </w:rPr>
        <w:t>‘</w:t>
      </w:r>
      <w:r w:rsidRPr="008163FC">
        <w:rPr>
          <w:sz w:val="20"/>
          <w:szCs w:val="20"/>
        </w:rPr>
        <w:t>Plotinus</w:t>
      </w:r>
      <w:r>
        <w:rPr>
          <w:sz w:val="20"/>
          <w:szCs w:val="20"/>
        </w:rPr>
        <w:t>”</w:t>
      </w:r>
      <w:r w:rsidRPr="008163FC">
        <w:rPr>
          <w:sz w:val="20"/>
          <w:szCs w:val="20"/>
        </w:rPr>
        <w:t>, </w:t>
      </w:r>
      <w:r w:rsidRPr="008163FC">
        <w:rPr>
          <w:i/>
          <w:iCs/>
          <w:sz w:val="20"/>
          <w:szCs w:val="20"/>
        </w:rPr>
        <w:t>The Stanford Encyclopedia of Philosophy </w:t>
      </w:r>
      <w:r w:rsidRPr="008163FC">
        <w:rPr>
          <w:sz w:val="20"/>
          <w:szCs w:val="20"/>
        </w:rPr>
        <w:t>(Summer 2013 Edition</w:t>
      </w:r>
      <w:r w:rsidR="00241A9C">
        <w:rPr>
          <w:sz w:val="20"/>
          <w:szCs w:val="20"/>
        </w:rPr>
        <w:t xml:space="preserve">), Edward N. </w:t>
      </w:r>
      <w:proofErr w:type="spellStart"/>
      <w:r w:rsidR="00241A9C">
        <w:rPr>
          <w:sz w:val="20"/>
          <w:szCs w:val="20"/>
        </w:rPr>
        <w:t>Zalta</w:t>
      </w:r>
      <w:proofErr w:type="spellEnd"/>
      <w:r w:rsidR="00241A9C">
        <w:rPr>
          <w:sz w:val="20"/>
          <w:szCs w:val="20"/>
        </w:rPr>
        <w:t xml:space="preserve"> (ed.), Sections 2 &amp; 3; </w:t>
      </w:r>
      <w:hyperlink r:id="rId6" w:history="1">
        <w:r w:rsidR="00241A9C">
          <w:rPr>
            <w:rStyle w:val="Hyperlink"/>
            <w:sz w:val="20"/>
            <w:szCs w:val="20"/>
          </w:rPr>
          <w:t>URL</w:t>
        </w:r>
      </w:hyperlink>
      <w:r>
        <w:rPr>
          <w:sz w:val="20"/>
          <w:szCs w:val="20"/>
        </w:rPr>
        <w:t>]</w:t>
      </w:r>
    </w:p>
    <w:p w:rsidR="00976617" w:rsidRDefault="00976617" w:rsidP="00976617">
      <w:pPr>
        <w:pStyle w:val="ListParagraph"/>
        <w:numPr>
          <w:ilvl w:val="0"/>
          <w:numId w:val="1"/>
        </w:numPr>
        <w:shd w:val="clear" w:color="auto" w:fill="DEEAF6" w:themeFill="accent1" w:themeFillTint="33"/>
        <w:rPr>
          <w:sz w:val="24"/>
          <w:szCs w:val="24"/>
        </w:rPr>
      </w:pPr>
      <w:r>
        <w:rPr>
          <w:sz w:val="24"/>
          <w:szCs w:val="24"/>
        </w:rPr>
        <w:t>Conceptions of Science: Positivism and Beyond</w:t>
      </w:r>
    </w:p>
    <w:p w:rsidR="009A104B" w:rsidRDefault="005138CC" w:rsidP="009A104B">
      <w:pPr>
        <w:pStyle w:val="ListParagraph"/>
        <w:numPr>
          <w:ilvl w:val="1"/>
          <w:numId w:val="1"/>
        </w:numPr>
        <w:shd w:val="clear" w:color="auto" w:fill="FFFFFF" w:themeFill="background1"/>
        <w:rPr>
          <w:sz w:val="24"/>
          <w:szCs w:val="24"/>
        </w:rPr>
      </w:pPr>
      <w:r w:rsidRPr="005138CC">
        <w:rPr>
          <w:sz w:val="24"/>
          <w:szCs w:val="24"/>
        </w:rPr>
        <w:t>Methodological Relativism: The Challenge of TCM</w:t>
      </w:r>
    </w:p>
    <w:p w:rsidR="004A2386" w:rsidRDefault="004A2386" w:rsidP="004A2386">
      <w:pPr>
        <w:pStyle w:val="ListParagraph"/>
        <w:numPr>
          <w:ilvl w:val="2"/>
          <w:numId w:val="1"/>
        </w:numPr>
        <w:shd w:val="clear" w:color="auto" w:fill="FFFFFF" w:themeFill="background1"/>
        <w:rPr>
          <w:sz w:val="24"/>
          <w:szCs w:val="24"/>
        </w:rPr>
      </w:pPr>
      <w:proofErr w:type="spellStart"/>
      <w:r w:rsidRPr="004A2386">
        <w:rPr>
          <w:sz w:val="20"/>
          <w:szCs w:val="20"/>
        </w:rPr>
        <w:t>Feyerabend</w:t>
      </w:r>
      <w:proofErr w:type="spellEnd"/>
      <w:r w:rsidRPr="004A2386">
        <w:rPr>
          <w:sz w:val="20"/>
          <w:szCs w:val="20"/>
        </w:rPr>
        <w:t xml:space="preserve">, Paul. “Realism and the Historicity of Knowledge.” </w:t>
      </w:r>
      <w:r w:rsidRPr="004A2386">
        <w:rPr>
          <w:i/>
          <w:iCs/>
          <w:sz w:val="20"/>
          <w:szCs w:val="20"/>
        </w:rPr>
        <w:t>The Journal of Philosophy</w:t>
      </w:r>
      <w:r w:rsidRPr="004A2386">
        <w:rPr>
          <w:sz w:val="20"/>
          <w:szCs w:val="20"/>
        </w:rPr>
        <w:t xml:space="preserve"> 86, no. 8 (1989): 393–406</w:t>
      </w:r>
      <w:r w:rsidRPr="004A2386">
        <w:rPr>
          <w:sz w:val="24"/>
          <w:szCs w:val="24"/>
        </w:rPr>
        <w:t>.</w:t>
      </w:r>
    </w:p>
    <w:p w:rsidR="004A2386" w:rsidRPr="003572A4" w:rsidRDefault="004A2386" w:rsidP="003572A4">
      <w:pPr>
        <w:pStyle w:val="ListParagraph"/>
        <w:numPr>
          <w:ilvl w:val="2"/>
          <w:numId w:val="1"/>
        </w:numPr>
        <w:shd w:val="clear" w:color="auto" w:fill="FFFFFF" w:themeFill="background1"/>
        <w:rPr>
          <w:sz w:val="20"/>
          <w:szCs w:val="20"/>
        </w:rPr>
      </w:pPr>
      <w:r w:rsidRPr="003572A4">
        <w:rPr>
          <w:sz w:val="20"/>
          <w:szCs w:val="20"/>
        </w:rPr>
        <w:t xml:space="preserve">Preston, Christopher J. “Pluralism and Naturalism: Why the Proliferation of Theories Is Good for the Mind.” </w:t>
      </w:r>
      <w:r w:rsidRPr="003572A4">
        <w:rPr>
          <w:i/>
          <w:iCs/>
          <w:sz w:val="20"/>
          <w:szCs w:val="20"/>
        </w:rPr>
        <w:t>Philosophical Psychology</w:t>
      </w:r>
      <w:r w:rsidRPr="003572A4">
        <w:rPr>
          <w:sz w:val="20"/>
          <w:szCs w:val="20"/>
        </w:rPr>
        <w:t xml:space="preserve"> 18, no. 6 (December 1, 2005): 715–735.</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Monistic Account of TCM</w:t>
      </w:r>
    </w:p>
    <w:p w:rsidR="00241A9C" w:rsidRPr="00241A9C" w:rsidRDefault="00241A9C" w:rsidP="00241A9C">
      <w:pPr>
        <w:pStyle w:val="ListParagraph"/>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proofErr w:type="spellStart"/>
      <w:r w:rsidRPr="00241A9C">
        <w:rPr>
          <w:sz w:val="20"/>
          <w:szCs w:val="20"/>
        </w:rPr>
        <w:t>Unschuld</w:t>
      </w:r>
      <w:proofErr w:type="spellEnd"/>
      <w:r w:rsidRPr="00241A9C">
        <w:rPr>
          <w:sz w:val="20"/>
          <w:szCs w:val="20"/>
        </w:rPr>
        <w:t xml:space="preserve">. </w:t>
      </w:r>
      <w:r w:rsidRPr="00241A9C">
        <w:rPr>
          <w:i/>
          <w:sz w:val="20"/>
          <w:szCs w:val="20"/>
        </w:rPr>
        <w:t>Medicine in China</w:t>
      </w:r>
      <w:r>
        <w:rPr>
          <w:sz w:val="20"/>
          <w:szCs w:val="20"/>
        </w:rPr>
        <w:t>, Chapter</w:t>
      </w:r>
      <w:r w:rsidRPr="00241A9C">
        <w:rPr>
          <w:sz w:val="20"/>
          <w:szCs w:val="20"/>
        </w:rPr>
        <w:t xml:space="preserve"> 3 “Unification of the Empire, Confucianism, and the Medicine of Systematic Correspondence”</w:t>
      </w:r>
    </w:p>
    <w:p w:rsidR="00241A9C" w:rsidRPr="00241A9C" w:rsidRDefault="005138CC" w:rsidP="009A104B">
      <w:pPr>
        <w:pStyle w:val="ListParagraph"/>
        <w:numPr>
          <w:ilvl w:val="1"/>
          <w:numId w:val="1"/>
        </w:numPr>
        <w:shd w:val="clear" w:color="auto" w:fill="FFFFFF" w:themeFill="background1"/>
        <w:rPr>
          <w:sz w:val="24"/>
          <w:szCs w:val="24"/>
        </w:rPr>
      </w:pPr>
      <w:r w:rsidRPr="005138CC">
        <w:rPr>
          <w:sz w:val="24"/>
          <w:szCs w:val="24"/>
        </w:rPr>
        <w:t>Pluralistic Account of TCM</w:t>
      </w:r>
      <w:r w:rsidR="00241A9C" w:rsidRPr="00241A9C">
        <w:rPr>
          <w:sz w:val="20"/>
          <w:szCs w:val="20"/>
        </w:rPr>
        <w:t xml:space="preserve"> </w:t>
      </w:r>
    </w:p>
    <w:p w:rsidR="005138CC" w:rsidRPr="00170F96" w:rsidRDefault="00241A9C" w:rsidP="00241A9C">
      <w:pPr>
        <w:pStyle w:val="ListParagraph"/>
        <w:numPr>
          <w:ilvl w:val="2"/>
          <w:numId w:val="1"/>
        </w:numPr>
        <w:shd w:val="clear" w:color="auto" w:fill="FFFFFF" w:themeFill="background1"/>
        <w:rPr>
          <w:sz w:val="24"/>
          <w:szCs w:val="24"/>
        </w:rPr>
      </w:pPr>
      <w:proofErr w:type="spellStart"/>
      <w:r>
        <w:rPr>
          <w:sz w:val="20"/>
          <w:szCs w:val="20"/>
        </w:rPr>
        <w:t>Kaptchuk</w:t>
      </w:r>
      <w:proofErr w:type="spellEnd"/>
      <w:r>
        <w:rPr>
          <w:sz w:val="20"/>
          <w:szCs w:val="20"/>
        </w:rPr>
        <w:t xml:space="preserve">. </w:t>
      </w:r>
      <w:r>
        <w:rPr>
          <w:i/>
          <w:sz w:val="20"/>
          <w:szCs w:val="20"/>
        </w:rPr>
        <w:t>The Web that has no Weaver</w:t>
      </w:r>
      <w:r>
        <w:rPr>
          <w:sz w:val="20"/>
          <w:szCs w:val="20"/>
        </w:rPr>
        <w:t>, Chapter 1 “Medicine East and West: Two Ways of Seeing, Two Ways of Thinking”</w:t>
      </w:r>
    </w:p>
    <w:p w:rsidR="00170F96" w:rsidRPr="00170F96" w:rsidRDefault="00FA18BA" w:rsidP="00170F96">
      <w:pPr>
        <w:pStyle w:val="ListParagraph"/>
        <w:numPr>
          <w:ilvl w:val="2"/>
          <w:numId w:val="1"/>
        </w:numPr>
        <w:shd w:val="clear" w:color="auto" w:fill="FFFFFF" w:themeFill="background1"/>
        <w:rPr>
          <w:sz w:val="20"/>
          <w:szCs w:val="20"/>
        </w:rPr>
      </w:pPr>
      <w:r>
        <w:rPr>
          <w:sz w:val="20"/>
          <w:szCs w:val="20"/>
        </w:rPr>
        <w:t>[</w:t>
      </w:r>
      <w:proofErr w:type="spellStart"/>
      <w:r>
        <w:rPr>
          <w:sz w:val="20"/>
          <w:szCs w:val="20"/>
        </w:rPr>
        <w:t>Scheid</w:t>
      </w:r>
      <w:proofErr w:type="spellEnd"/>
      <w:r w:rsidR="00170F96" w:rsidRPr="00170F96">
        <w:rPr>
          <w:sz w:val="20"/>
          <w:szCs w:val="20"/>
        </w:rPr>
        <w:t>, Volker. “Traditional Chinese medicine—What Are We Investigating</w:t>
      </w:r>
      <w:proofErr w:type="gramStart"/>
      <w:r w:rsidR="00170F96" w:rsidRPr="00170F96">
        <w:rPr>
          <w:sz w:val="20"/>
          <w:szCs w:val="20"/>
        </w:rPr>
        <w:t>?:</w:t>
      </w:r>
      <w:proofErr w:type="gramEnd"/>
      <w:r w:rsidR="00170F96" w:rsidRPr="00170F96">
        <w:rPr>
          <w:sz w:val="20"/>
          <w:szCs w:val="20"/>
        </w:rPr>
        <w:t xml:space="preserve"> The Case of Menopause.” Complementary Therapies in Medicine 15, no. 1 (2007): 54–68.</w:t>
      </w:r>
      <w:r w:rsidR="00170F96">
        <w:rPr>
          <w:sz w:val="20"/>
          <w:szCs w:val="20"/>
        </w:rPr>
        <w:t xml:space="preserve"> ]</w:t>
      </w:r>
    </w:p>
    <w:p w:rsidR="00CB76F2" w:rsidRPr="00CB76F2" w:rsidRDefault="005138CC" w:rsidP="00CB76F2">
      <w:pPr>
        <w:pStyle w:val="ListParagraph"/>
        <w:numPr>
          <w:ilvl w:val="1"/>
          <w:numId w:val="1"/>
        </w:numPr>
        <w:shd w:val="clear" w:color="auto" w:fill="FFFFFF" w:themeFill="background1"/>
        <w:rPr>
          <w:sz w:val="20"/>
          <w:szCs w:val="20"/>
        </w:rPr>
      </w:pPr>
      <w:r w:rsidRPr="00CB76F2">
        <w:rPr>
          <w:sz w:val="24"/>
          <w:szCs w:val="24"/>
        </w:rPr>
        <w:t>Positivism: Basic premise of the monistic account</w:t>
      </w:r>
    </w:p>
    <w:p w:rsidR="00DF2131" w:rsidRPr="00CB76F2" w:rsidRDefault="00DF2131" w:rsidP="00CB76F2">
      <w:pPr>
        <w:pStyle w:val="ListParagraph"/>
        <w:numPr>
          <w:ilvl w:val="2"/>
          <w:numId w:val="1"/>
        </w:numPr>
        <w:shd w:val="clear" w:color="auto" w:fill="FFFFFF" w:themeFill="background1"/>
        <w:rPr>
          <w:sz w:val="20"/>
          <w:szCs w:val="20"/>
        </w:rPr>
      </w:pPr>
      <w:proofErr w:type="spellStart"/>
      <w:r w:rsidRPr="00CB76F2">
        <w:rPr>
          <w:sz w:val="20"/>
          <w:szCs w:val="20"/>
        </w:rPr>
        <w:t>Creath</w:t>
      </w:r>
      <w:proofErr w:type="spellEnd"/>
      <w:r w:rsidRPr="00CB76F2">
        <w:rPr>
          <w:sz w:val="20"/>
          <w:szCs w:val="20"/>
        </w:rPr>
        <w:t xml:space="preserve">, Richard, "Logical Empiricism," </w:t>
      </w:r>
      <w:r w:rsidRPr="00CB76F2">
        <w:rPr>
          <w:i/>
          <w:iCs/>
          <w:sz w:val="20"/>
          <w:szCs w:val="20"/>
        </w:rPr>
        <w:t>The Stanford Encyclopedia of Philosop</w:t>
      </w:r>
      <w:r w:rsidRPr="00CB76F2">
        <w:rPr>
          <w:sz w:val="20"/>
          <w:szCs w:val="20"/>
        </w:rPr>
        <w:t xml:space="preserve">hy </w:t>
      </w:r>
      <w:hyperlink r:id="rId7" w:history="1">
        <w:r w:rsidRPr="00CB76F2">
          <w:rPr>
            <w:rStyle w:val="Hyperlink"/>
            <w:sz w:val="20"/>
            <w:szCs w:val="20"/>
          </w:rPr>
          <w:t>URL</w:t>
        </w:r>
      </w:hyperlink>
      <w:r w:rsidRPr="00CB76F2">
        <w:rPr>
          <w:sz w:val="20"/>
          <w:szCs w:val="20"/>
        </w:rPr>
        <w:t>.</w:t>
      </w:r>
    </w:p>
    <w:p w:rsidR="00CB76F2" w:rsidRPr="00CB76F2" w:rsidRDefault="005138CC" w:rsidP="00CB76F2">
      <w:pPr>
        <w:pStyle w:val="ListParagraph"/>
        <w:numPr>
          <w:ilvl w:val="1"/>
          <w:numId w:val="1"/>
        </w:numPr>
        <w:shd w:val="clear" w:color="auto" w:fill="FFFFFF" w:themeFill="background1"/>
        <w:rPr>
          <w:rFonts w:eastAsia="Times New Roman" w:cs="Times New Roman"/>
          <w:sz w:val="20"/>
          <w:szCs w:val="20"/>
          <w:lang w:eastAsia="en-US"/>
          <w14:ligatures w14:val="none"/>
        </w:rPr>
      </w:pPr>
      <w:r w:rsidRPr="00CB76F2">
        <w:rPr>
          <w:sz w:val="24"/>
          <w:szCs w:val="24"/>
        </w:rPr>
        <w:t>From Positivism to Holism: Turning point of 20th century philosophy of science</w:t>
      </w:r>
    </w:p>
    <w:p w:rsidR="00DF2131" w:rsidRPr="00CB76F2" w:rsidRDefault="00DF2131" w:rsidP="00CB76F2">
      <w:pPr>
        <w:pStyle w:val="ListParagraph"/>
        <w:numPr>
          <w:ilvl w:val="2"/>
          <w:numId w:val="1"/>
        </w:numPr>
        <w:shd w:val="clear" w:color="auto" w:fill="FFFFFF" w:themeFill="background1"/>
        <w:rPr>
          <w:rFonts w:eastAsia="Times New Roman" w:cs="Times New Roman"/>
          <w:sz w:val="20"/>
          <w:szCs w:val="20"/>
          <w:lang w:eastAsia="en-US"/>
          <w14:ligatures w14:val="none"/>
        </w:rPr>
      </w:pPr>
      <w:r w:rsidRPr="00CB76F2">
        <w:rPr>
          <w:sz w:val="20"/>
          <w:szCs w:val="20"/>
        </w:rPr>
        <w:t xml:space="preserve">“Two Dogmas of Empiricism” in </w:t>
      </w:r>
      <w:proofErr w:type="spellStart"/>
      <w:r w:rsidRPr="00CB76F2">
        <w:rPr>
          <w:rFonts w:eastAsia="Times New Roman" w:cs="Times New Roman"/>
          <w:sz w:val="20"/>
          <w:szCs w:val="20"/>
          <w:lang w:eastAsia="en-US"/>
          <w14:ligatures w14:val="none"/>
        </w:rPr>
        <w:t>Quine</w:t>
      </w:r>
      <w:proofErr w:type="spellEnd"/>
      <w:r w:rsidRPr="00CB76F2">
        <w:rPr>
          <w:rFonts w:eastAsia="Times New Roman" w:cs="Times New Roman"/>
          <w:sz w:val="20"/>
          <w:szCs w:val="20"/>
          <w:lang w:eastAsia="en-US"/>
          <w14:ligatures w14:val="none"/>
        </w:rPr>
        <w:t xml:space="preserve">, </w:t>
      </w:r>
      <w:r w:rsidRPr="00CB76F2">
        <w:rPr>
          <w:rFonts w:eastAsia="Times New Roman" w:cs="Times New Roman"/>
          <w:i/>
          <w:iCs/>
          <w:sz w:val="20"/>
          <w:szCs w:val="20"/>
          <w:lang w:eastAsia="en-US"/>
          <w14:ligatures w14:val="none"/>
        </w:rPr>
        <w:t>From a Logical Point of View</w:t>
      </w:r>
      <w:r w:rsidRPr="00CB76F2">
        <w:rPr>
          <w:rFonts w:eastAsia="Times New Roman" w:cs="Times New Roman"/>
          <w:sz w:val="20"/>
          <w:szCs w:val="20"/>
          <w:lang w:eastAsia="en-US"/>
          <w14:ligatures w14:val="none"/>
        </w:rPr>
        <w:t>. Harvard University Press, 1980.</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Empirical confirmation — Cultural foundations of inductive validity</w:t>
      </w:r>
    </w:p>
    <w:p w:rsidR="00CB76F2" w:rsidRPr="00CB76F2" w:rsidRDefault="00CB76F2" w:rsidP="00CB76F2">
      <w:pPr>
        <w:pStyle w:val="ListParagraph"/>
        <w:numPr>
          <w:ilvl w:val="2"/>
          <w:numId w:val="1"/>
        </w:numPr>
        <w:spacing w:after="0" w:line="240" w:lineRule="auto"/>
        <w:rPr>
          <w:rFonts w:eastAsia="Times New Roman" w:cs="Times New Roman"/>
          <w:sz w:val="20"/>
          <w:szCs w:val="20"/>
          <w:lang w:eastAsia="en-US"/>
          <w14:ligatures w14:val="none"/>
        </w:rPr>
      </w:pPr>
      <w:r w:rsidRPr="00CB76F2">
        <w:rPr>
          <w:rFonts w:eastAsia="Times New Roman" w:cs="Times New Roman"/>
          <w:sz w:val="20"/>
          <w:szCs w:val="20"/>
          <w:lang w:eastAsia="en-US"/>
          <w14:ligatures w14:val="none"/>
        </w:rPr>
        <w:t xml:space="preserve">Goodman, Nelson. </w:t>
      </w:r>
      <w:r w:rsidRPr="00CB76F2">
        <w:rPr>
          <w:rFonts w:eastAsia="Times New Roman" w:cs="Times New Roman"/>
          <w:i/>
          <w:iCs/>
          <w:sz w:val="20"/>
          <w:szCs w:val="20"/>
          <w:lang w:eastAsia="en-US"/>
          <w14:ligatures w14:val="none"/>
        </w:rPr>
        <w:t>Fact, Fiction, and Forecast</w:t>
      </w:r>
      <w:r w:rsidRPr="00CB76F2">
        <w:rPr>
          <w:rFonts w:eastAsia="Times New Roman" w:cs="Times New Roman"/>
          <w:sz w:val="20"/>
          <w:szCs w:val="20"/>
          <w:lang w:eastAsia="en-US"/>
          <w14:ligatures w14:val="none"/>
        </w:rPr>
        <w:t>. Harvard University Press, 1983; Chapters 3 &amp; 4.</w:t>
      </w:r>
    </w:p>
    <w:p w:rsidR="00CB76F2" w:rsidRDefault="003B01EB" w:rsidP="003B01EB">
      <w:pPr>
        <w:pStyle w:val="ListParagraph"/>
        <w:numPr>
          <w:ilvl w:val="2"/>
          <w:numId w:val="1"/>
        </w:numPr>
        <w:shd w:val="clear" w:color="auto" w:fill="FFFFFF" w:themeFill="background1"/>
        <w:rPr>
          <w:sz w:val="24"/>
          <w:szCs w:val="24"/>
        </w:rPr>
      </w:pPr>
      <w:r w:rsidRPr="003B01EB">
        <w:rPr>
          <w:sz w:val="20"/>
          <w:szCs w:val="20"/>
        </w:rPr>
        <w:t>Putnam's "Foreword" to the 4th, 1983, edition of </w:t>
      </w:r>
      <w:r w:rsidRPr="003B01EB">
        <w:rPr>
          <w:i/>
          <w:iCs/>
          <w:sz w:val="20"/>
          <w:szCs w:val="20"/>
        </w:rPr>
        <w:t>Fact, Fiction, and Forecast</w:t>
      </w:r>
      <w:r w:rsidRPr="003B01EB">
        <w:rPr>
          <w:i/>
          <w:iCs/>
          <w:sz w:val="24"/>
          <w:szCs w:val="24"/>
        </w:rPr>
        <w:t>.</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Rightness: Categorization &amp; Metaphorical Truth</w:t>
      </w:r>
    </w:p>
    <w:p w:rsidR="00A97C3C" w:rsidRPr="00A97C3C" w:rsidRDefault="00A97C3C" w:rsidP="00A97C3C">
      <w:pPr>
        <w:pStyle w:val="ListParagraph"/>
        <w:numPr>
          <w:ilvl w:val="2"/>
          <w:numId w:val="1"/>
        </w:numPr>
        <w:spacing w:after="0" w:line="240" w:lineRule="auto"/>
        <w:rPr>
          <w:rFonts w:eastAsia="Times New Roman" w:cs="Times New Roman"/>
          <w:sz w:val="24"/>
          <w:szCs w:val="24"/>
          <w:lang w:eastAsia="en-US"/>
          <w14:ligatures w14:val="none"/>
        </w:rPr>
      </w:pPr>
      <w:r w:rsidRPr="00A97C3C">
        <w:rPr>
          <w:rFonts w:eastAsia="Times New Roman" w:cs="Times New Roman"/>
          <w:sz w:val="20"/>
          <w:szCs w:val="20"/>
          <w:lang w:eastAsia="en-US"/>
          <w14:ligatures w14:val="none"/>
        </w:rPr>
        <w:t xml:space="preserve">Goodman, Nelson. </w:t>
      </w:r>
      <w:r w:rsidRPr="00A97C3C">
        <w:rPr>
          <w:rFonts w:eastAsia="Times New Roman" w:cs="Times New Roman"/>
          <w:i/>
          <w:iCs/>
          <w:sz w:val="20"/>
          <w:szCs w:val="20"/>
          <w:lang w:eastAsia="en-US"/>
          <w14:ligatures w14:val="none"/>
        </w:rPr>
        <w:t xml:space="preserve">Ways of </w:t>
      </w:r>
      <w:proofErr w:type="spellStart"/>
      <w:r w:rsidRPr="00A97C3C">
        <w:rPr>
          <w:rFonts w:eastAsia="Times New Roman" w:cs="Times New Roman"/>
          <w:i/>
          <w:iCs/>
          <w:sz w:val="20"/>
          <w:szCs w:val="20"/>
          <w:lang w:eastAsia="en-US"/>
          <w14:ligatures w14:val="none"/>
        </w:rPr>
        <w:t>Worldmaking</w:t>
      </w:r>
      <w:proofErr w:type="spellEnd"/>
      <w:r w:rsidRPr="00A97C3C">
        <w:rPr>
          <w:rFonts w:eastAsia="Times New Roman" w:cs="Times New Roman"/>
          <w:sz w:val="20"/>
          <w:szCs w:val="20"/>
          <w:lang w:eastAsia="en-US"/>
          <w14:ligatures w14:val="none"/>
        </w:rPr>
        <w:t>. Hackett Publishing, 1978</w:t>
      </w:r>
      <w:r>
        <w:rPr>
          <w:rFonts w:eastAsia="Times New Roman" w:cs="Times New Roman"/>
          <w:sz w:val="24"/>
          <w:szCs w:val="24"/>
          <w:lang w:eastAsia="en-US"/>
          <w14:ligatures w14:val="none"/>
        </w:rPr>
        <w:t xml:space="preserve">; </w:t>
      </w:r>
      <w:r w:rsidRPr="00A97C3C">
        <w:rPr>
          <w:rFonts w:eastAsia="Times New Roman" w:cs="Times New Roman"/>
          <w:sz w:val="20"/>
          <w:szCs w:val="20"/>
          <w:lang w:eastAsia="en-US"/>
          <w14:ligatures w14:val="none"/>
        </w:rPr>
        <w:t>Chapters 6-7</w:t>
      </w:r>
      <w:r>
        <w:rPr>
          <w:rFonts w:eastAsia="Times New Roman" w:cs="Times New Roman"/>
          <w:sz w:val="20"/>
          <w:szCs w:val="20"/>
          <w:lang w:eastAsia="en-US"/>
          <w14:ligatures w14:val="none"/>
        </w:rPr>
        <w:t xml:space="preserve">: </w:t>
      </w:r>
      <w:r>
        <w:rPr>
          <w:sz w:val="20"/>
          <w:szCs w:val="20"/>
        </w:rPr>
        <w:t>“Fabrication of Facts” &amp; “Rightness of Rendering</w:t>
      </w:r>
      <w:r w:rsidR="001945AB">
        <w:rPr>
          <w:sz w:val="20"/>
          <w:szCs w:val="20"/>
        </w:rPr>
        <w:t>.</w:t>
      </w:r>
      <w:r>
        <w:rPr>
          <w:sz w:val="20"/>
          <w:szCs w:val="20"/>
        </w:rPr>
        <w:t>”</w:t>
      </w:r>
    </w:p>
    <w:p w:rsidR="00964961" w:rsidRPr="00964961" w:rsidRDefault="00976617" w:rsidP="00964961">
      <w:pPr>
        <w:pStyle w:val="ListParagraph"/>
        <w:numPr>
          <w:ilvl w:val="0"/>
          <w:numId w:val="1"/>
        </w:numPr>
        <w:shd w:val="clear" w:color="auto" w:fill="DEEAF6" w:themeFill="accent1" w:themeFillTint="33"/>
        <w:spacing w:after="0" w:line="240" w:lineRule="auto"/>
        <w:rPr>
          <w:rFonts w:eastAsia="Times New Roman" w:cs="Times New Roman"/>
          <w:sz w:val="20"/>
          <w:szCs w:val="20"/>
          <w:lang w:eastAsia="en-US"/>
          <w14:ligatures w14:val="none"/>
        </w:rPr>
      </w:pPr>
      <w:r w:rsidRPr="00964961">
        <w:rPr>
          <w:sz w:val="24"/>
          <w:szCs w:val="24"/>
        </w:rPr>
        <w:t>A Qualitative Universe: Myth, Magic &amp; Witchcraft</w:t>
      </w:r>
    </w:p>
    <w:p w:rsidR="0087425B" w:rsidRPr="00964961" w:rsidRDefault="00964961" w:rsidP="00964961">
      <w:pPr>
        <w:pStyle w:val="ListParagraph"/>
        <w:numPr>
          <w:ilvl w:val="1"/>
          <w:numId w:val="1"/>
        </w:numPr>
        <w:shd w:val="clear" w:color="auto" w:fill="FFFFFF" w:themeFill="background1"/>
        <w:spacing w:after="0" w:line="240" w:lineRule="auto"/>
        <w:rPr>
          <w:rFonts w:eastAsia="Times New Roman" w:cs="Times New Roman"/>
          <w:sz w:val="20"/>
          <w:szCs w:val="20"/>
          <w:lang w:eastAsia="en-US"/>
          <w14:ligatures w14:val="none"/>
        </w:rPr>
      </w:pPr>
      <w:r>
        <w:rPr>
          <w:sz w:val="24"/>
          <w:szCs w:val="24"/>
        </w:rPr>
        <w:t>H</w:t>
      </w:r>
      <w:r w:rsidR="005138CC" w:rsidRPr="00964961">
        <w:rPr>
          <w:sz w:val="24"/>
          <w:szCs w:val="24"/>
        </w:rPr>
        <w:t>ow did we come to live in a quantitative universe?</w:t>
      </w:r>
      <w:r w:rsidR="005138CC" w:rsidRPr="00964961">
        <w:rPr>
          <w:sz w:val="24"/>
          <w:szCs w:val="24"/>
        </w:rPr>
        <w:tab/>
      </w:r>
    </w:p>
    <w:p w:rsidR="00024442" w:rsidRDefault="0087425B" w:rsidP="00AD53FD">
      <w:pPr>
        <w:pStyle w:val="ListParagraph"/>
        <w:numPr>
          <w:ilvl w:val="2"/>
          <w:numId w:val="1"/>
        </w:numPr>
        <w:shd w:val="clear" w:color="auto" w:fill="FFFFFF" w:themeFill="background1"/>
        <w:spacing w:after="0" w:line="240" w:lineRule="auto"/>
        <w:ind w:hanging="480"/>
        <w:rPr>
          <w:rFonts w:eastAsia="Times New Roman" w:cs="Times New Roman"/>
          <w:sz w:val="20"/>
          <w:szCs w:val="20"/>
          <w:lang w:eastAsia="en-US"/>
          <w14:ligatures w14:val="none"/>
        </w:rPr>
      </w:pPr>
      <w:r w:rsidRPr="00024442">
        <w:rPr>
          <w:rFonts w:eastAsia="Times New Roman" w:cs="Times New Roman"/>
          <w:sz w:val="20"/>
          <w:szCs w:val="20"/>
          <w:lang w:eastAsia="en-US"/>
          <w14:ligatures w14:val="none"/>
        </w:rPr>
        <w:t xml:space="preserve">Husserl, Edmund. </w:t>
      </w:r>
      <w:r w:rsidRPr="00024442">
        <w:rPr>
          <w:rFonts w:eastAsia="Times New Roman" w:cs="Times New Roman"/>
          <w:i/>
          <w:iCs/>
          <w:sz w:val="20"/>
          <w:szCs w:val="20"/>
          <w:lang w:eastAsia="en-US"/>
          <w14:ligatures w14:val="none"/>
        </w:rPr>
        <w:t xml:space="preserve">The Crisis of European Sciences. </w:t>
      </w:r>
      <w:r w:rsidRPr="00024442">
        <w:rPr>
          <w:rFonts w:eastAsia="Times New Roman" w:cs="Times New Roman"/>
          <w:sz w:val="20"/>
          <w:szCs w:val="20"/>
          <w:lang w:eastAsia="en-US"/>
          <w14:ligatures w14:val="none"/>
        </w:rPr>
        <w:t>Northwestern UP, 1970. Part 2.</w:t>
      </w:r>
    </w:p>
    <w:p w:rsidR="00024442" w:rsidRPr="00024442" w:rsidRDefault="00024442" w:rsidP="00AD53FD">
      <w:pPr>
        <w:pStyle w:val="ListParagraph"/>
        <w:numPr>
          <w:ilvl w:val="2"/>
          <w:numId w:val="1"/>
        </w:numPr>
        <w:shd w:val="clear" w:color="auto" w:fill="FFFFFF" w:themeFill="background1"/>
        <w:spacing w:after="0" w:line="240" w:lineRule="auto"/>
        <w:ind w:hanging="480"/>
        <w:rPr>
          <w:rFonts w:eastAsia="Times New Roman" w:cs="Times New Roman"/>
          <w:sz w:val="20"/>
          <w:szCs w:val="20"/>
          <w:lang w:eastAsia="en-US"/>
          <w14:ligatures w14:val="none"/>
        </w:rPr>
      </w:pPr>
      <w:r>
        <w:rPr>
          <w:rFonts w:eastAsia="Times New Roman" w:cs="Times New Roman"/>
          <w:sz w:val="20"/>
          <w:szCs w:val="20"/>
          <w:lang w:eastAsia="en-US"/>
          <w14:ligatures w14:val="none"/>
        </w:rPr>
        <w:t>[</w:t>
      </w:r>
      <w:r w:rsidRPr="00024442">
        <w:rPr>
          <w:rFonts w:eastAsia="Times New Roman" w:cs="Times New Roman"/>
          <w:sz w:val="20"/>
          <w:szCs w:val="20"/>
          <w:lang w:eastAsia="en-US"/>
          <w14:ligatures w14:val="none"/>
        </w:rPr>
        <w:t xml:space="preserve">Nagel, Thomas. “Evolutionary Naturalism and the Fear of Religion,” in </w:t>
      </w:r>
      <w:r w:rsidRPr="00024442">
        <w:rPr>
          <w:rFonts w:eastAsia="Times New Roman" w:cs="Times New Roman"/>
          <w:i/>
          <w:iCs/>
          <w:sz w:val="20"/>
          <w:szCs w:val="20"/>
          <w:lang w:eastAsia="en-US"/>
          <w14:ligatures w14:val="none"/>
        </w:rPr>
        <w:t>The Last Word</w:t>
      </w:r>
      <w:r w:rsidRPr="00024442">
        <w:rPr>
          <w:rFonts w:eastAsia="Times New Roman" w:cs="Times New Roman"/>
          <w:sz w:val="20"/>
          <w:szCs w:val="20"/>
          <w:lang w:eastAsia="en-US"/>
          <w14:ligatures w14:val="none"/>
        </w:rPr>
        <w:t>. Oxford University Press, 1997, Chapter 7.</w:t>
      </w:r>
      <w:r>
        <w:rPr>
          <w:rFonts w:eastAsia="Times New Roman" w:cs="Times New Roman"/>
          <w:sz w:val="20"/>
          <w:szCs w:val="20"/>
          <w:lang w:eastAsia="en-US"/>
          <w14:ligatures w14:val="none"/>
        </w:rPr>
        <w:t>]</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lastRenderedPageBreak/>
        <w:t>Mythical thought — Qualitative science</w:t>
      </w:r>
    </w:p>
    <w:p w:rsidR="00DF3276" w:rsidRPr="00DF3276" w:rsidRDefault="00DF3276" w:rsidP="003405BE">
      <w:pPr>
        <w:pStyle w:val="ListParagraph"/>
        <w:numPr>
          <w:ilvl w:val="2"/>
          <w:numId w:val="1"/>
        </w:numPr>
        <w:spacing w:after="0" w:line="240" w:lineRule="auto"/>
        <w:rPr>
          <w:rFonts w:eastAsia="Times New Roman" w:cs="Times New Roman"/>
          <w:sz w:val="20"/>
          <w:szCs w:val="20"/>
          <w:lang w:eastAsia="en-US"/>
          <w14:ligatures w14:val="none"/>
        </w:rPr>
      </w:pPr>
      <w:r w:rsidRPr="00DF3276">
        <w:rPr>
          <w:rFonts w:eastAsia="Times New Roman" w:cs="Times New Roman"/>
          <w:sz w:val="20"/>
          <w:szCs w:val="20"/>
          <w:lang w:eastAsia="en-US"/>
          <w14:ligatures w14:val="none"/>
        </w:rPr>
        <w:t xml:space="preserve">“The Science of the concrete,” in </w:t>
      </w:r>
      <w:r w:rsidR="003405BE" w:rsidRPr="00DF3276">
        <w:rPr>
          <w:rFonts w:eastAsia="Times New Roman" w:cs="Times New Roman"/>
          <w:sz w:val="20"/>
          <w:szCs w:val="20"/>
          <w:lang w:eastAsia="en-US"/>
          <w14:ligatures w14:val="none"/>
        </w:rPr>
        <w:t>Claude</w:t>
      </w:r>
      <w:r w:rsidR="003405BE">
        <w:rPr>
          <w:rFonts w:eastAsia="Times New Roman" w:cs="Times New Roman"/>
          <w:sz w:val="20"/>
          <w:szCs w:val="20"/>
          <w:lang w:eastAsia="en-US"/>
          <w14:ligatures w14:val="none"/>
        </w:rPr>
        <w:t xml:space="preserve"> Lévi-Strauss</w:t>
      </w:r>
      <w:r w:rsidRPr="00DF3276">
        <w:rPr>
          <w:rFonts w:eastAsia="Times New Roman" w:cs="Times New Roman"/>
          <w:sz w:val="20"/>
          <w:szCs w:val="20"/>
          <w:lang w:eastAsia="en-US"/>
          <w14:ligatures w14:val="none"/>
        </w:rPr>
        <w:t xml:space="preserve">. </w:t>
      </w:r>
      <w:r w:rsidRPr="00DF3276">
        <w:rPr>
          <w:rFonts w:eastAsia="Times New Roman" w:cs="Times New Roman"/>
          <w:i/>
          <w:iCs/>
          <w:sz w:val="20"/>
          <w:szCs w:val="20"/>
          <w:lang w:eastAsia="en-US"/>
          <w14:ligatures w14:val="none"/>
        </w:rPr>
        <w:t>The Savage Mind</w:t>
      </w:r>
      <w:r w:rsidRPr="00DF3276">
        <w:rPr>
          <w:rFonts w:eastAsia="Times New Roman" w:cs="Times New Roman"/>
          <w:sz w:val="20"/>
          <w:szCs w:val="20"/>
          <w:lang w:eastAsia="en-US"/>
          <w14:ligatures w14:val="none"/>
        </w:rPr>
        <w:t>. University of Chicago Press, 1966.</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Functional analysis of magical experience and belief</w:t>
      </w:r>
    </w:p>
    <w:p w:rsidR="00C84139" w:rsidRPr="00C84139" w:rsidRDefault="00C84139" w:rsidP="00C84139">
      <w:pPr>
        <w:pStyle w:val="ListParagraph"/>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C84139">
        <w:rPr>
          <w:sz w:val="20"/>
          <w:szCs w:val="20"/>
        </w:rPr>
        <w:t xml:space="preserve">Malinowski. </w:t>
      </w:r>
      <w:r w:rsidRPr="00C84139">
        <w:rPr>
          <w:i/>
          <w:sz w:val="20"/>
          <w:szCs w:val="20"/>
        </w:rPr>
        <w:t>Magic, Science, and Religion</w:t>
      </w:r>
      <w:r w:rsidRPr="00C84139">
        <w:rPr>
          <w:sz w:val="20"/>
          <w:szCs w:val="20"/>
        </w:rPr>
        <w:t>, pp. 17-93</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Witchcraft: A Category of Explanation</w:t>
      </w:r>
    </w:p>
    <w:p w:rsidR="00C84139" w:rsidRDefault="00C84139" w:rsidP="00C84139">
      <w:pPr>
        <w:pStyle w:val="ListParagraph"/>
        <w:numPr>
          <w:ilvl w:val="2"/>
          <w:numId w:val="1"/>
        </w:numPr>
        <w:shd w:val="clear" w:color="auto" w:fill="FFFFFF" w:themeFill="background1"/>
        <w:rPr>
          <w:sz w:val="24"/>
          <w:szCs w:val="24"/>
        </w:rPr>
      </w:pPr>
      <w:r>
        <w:rPr>
          <w:sz w:val="20"/>
          <w:szCs w:val="20"/>
        </w:rPr>
        <w:t xml:space="preserve">Evans-Pritchard. </w:t>
      </w:r>
      <w:r>
        <w:rPr>
          <w:i/>
          <w:sz w:val="20"/>
          <w:szCs w:val="20"/>
        </w:rPr>
        <w:t xml:space="preserve">Witchcraft, Oracles and Magic among the </w:t>
      </w:r>
      <w:proofErr w:type="spellStart"/>
      <w:r>
        <w:rPr>
          <w:i/>
          <w:sz w:val="20"/>
          <w:szCs w:val="20"/>
        </w:rPr>
        <w:t>Azande</w:t>
      </w:r>
      <w:proofErr w:type="spellEnd"/>
      <w:r>
        <w:rPr>
          <w:sz w:val="20"/>
          <w:szCs w:val="20"/>
        </w:rPr>
        <w:t>, pp. 1-120</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 xml:space="preserve">Ontological and </w:t>
      </w:r>
      <w:r>
        <w:rPr>
          <w:sz w:val="24"/>
          <w:szCs w:val="24"/>
        </w:rPr>
        <w:t>Anthropological P</w:t>
      </w:r>
      <w:r w:rsidRPr="005138CC">
        <w:rPr>
          <w:sz w:val="24"/>
          <w:szCs w:val="24"/>
        </w:rPr>
        <w:t>uzzles — “Twins are one person and they are birds.”</w:t>
      </w:r>
    </w:p>
    <w:p w:rsidR="00C84139" w:rsidRPr="00ED35FA" w:rsidRDefault="00ED35FA" w:rsidP="00ED35FA">
      <w:pPr>
        <w:pStyle w:val="ListParagraph"/>
        <w:numPr>
          <w:ilvl w:val="2"/>
          <w:numId w:val="1"/>
        </w:numPr>
        <w:shd w:val="clear" w:color="auto" w:fill="FFFFFF" w:themeFill="background1"/>
        <w:rPr>
          <w:sz w:val="24"/>
          <w:szCs w:val="24"/>
        </w:rPr>
      </w:pPr>
      <w:r>
        <w:rPr>
          <w:sz w:val="20"/>
          <w:szCs w:val="20"/>
        </w:rPr>
        <w:t xml:space="preserve">Evans-Pritchard. </w:t>
      </w:r>
      <w:proofErr w:type="spellStart"/>
      <w:r>
        <w:rPr>
          <w:i/>
          <w:sz w:val="20"/>
          <w:szCs w:val="20"/>
        </w:rPr>
        <w:t>Nuer</w:t>
      </w:r>
      <w:proofErr w:type="spellEnd"/>
      <w:r>
        <w:rPr>
          <w:i/>
          <w:sz w:val="20"/>
          <w:szCs w:val="20"/>
        </w:rPr>
        <w:t xml:space="preserve"> Religion</w:t>
      </w:r>
      <w:r>
        <w:rPr>
          <w:sz w:val="20"/>
          <w:szCs w:val="20"/>
        </w:rPr>
        <w:t>, Chapter 5 “The Problem of Symbols”</w:t>
      </w:r>
    </w:p>
    <w:p w:rsidR="00ED35FA" w:rsidRPr="00ED35FA" w:rsidRDefault="00ED35FA" w:rsidP="00ED35FA">
      <w:pPr>
        <w:pStyle w:val="ListParagraph"/>
        <w:numPr>
          <w:ilvl w:val="2"/>
          <w:numId w:val="1"/>
        </w:numPr>
        <w:shd w:val="clear" w:color="auto" w:fill="FFFFFF" w:themeFill="background1"/>
        <w:rPr>
          <w:sz w:val="20"/>
          <w:szCs w:val="20"/>
        </w:rPr>
      </w:pPr>
      <w:proofErr w:type="spellStart"/>
      <w:r>
        <w:rPr>
          <w:sz w:val="20"/>
          <w:szCs w:val="20"/>
        </w:rPr>
        <w:t>Quine</w:t>
      </w:r>
      <w:proofErr w:type="spellEnd"/>
      <w:r>
        <w:rPr>
          <w:sz w:val="20"/>
          <w:szCs w:val="20"/>
        </w:rPr>
        <w:t xml:space="preserve">. “Ontological Relativity,” in </w:t>
      </w:r>
      <w:r w:rsidRPr="00ED35FA">
        <w:rPr>
          <w:sz w:val="20"/>
          <w:szCs w:val="20"/>
        </w:rPr>
        <w:t>W</w:t>
      </w:r>
      <w:r>
        <w:rPr>
          <w:sz w:val="20"/>
          <w:szCs w:val="20"/>
        </w:rPr>
        <w:t xml:space="preserve">. </w:t>
      </w:r>
      <w:r w:rsidRPr="00ED35FA">
        <w:rPr>
          <w:sz w:val="20"/>
          <w:szCs w:val="20"/>
        </w:rPr>
        <w:t>V</w:t>
      </w:r>
      <w:r>
        <w:rPr>
          <w:sz w:val="20"/>
          <w:szCs w:val="20"/>
        </w:rPr>
        <w:t>.</w:t>
      </w:r>
      <w:r w:rsidRPr="00ED35FA">
        <w:rPr>
          <w:sz w:val="20"/>
          <w:szCs w:val="20"/>
        </w:rPr>
        <w:t xml:space="preserve"> </w:t>
      </w:r>
      <w:proofErr w:type="spellStart"/>
      <w:r w:rsidRPr="00ED35FA">
        <w:rPr>
          <w:sz w:val="20"/>
          <w:szCs w:val="20"/>
        </w:rPr>
        <w:t>O</w:t>
      </w:r>
      <w:r>
        <w:rPr>
          <w:sz w:val="20"/>
          <w:szCs w:val="20"/>
        </w:rPr>
        <w:t>.</w:t>
      </w:r>
      <w:r w:rsidRPr="00ED35FA">
        <w:rPr>
          <w:sz w:val="20"/>
          <w:szCs w:val="20"/>
        </w:rPr>
        <w:t>Quine</w:t>
      </w:r>
      <w:proofErr w:type="spellEnd"/>
      <w:r w:rsidRPr="00ED35FA">
        <w:rPr>
          <w:sz w:val="20"/>
          <w:szCs w:val="20"/>
        </w:rPr>
        <w:t xml:space="preserve">. </w:t>
      </w:r>
      <w:r w:rsidRPr="00ED35FA">
        <w:rPr>
          <w:i/>
          <w:iCs/>
          <w:sz w:val="20"/>
          <w:szCs w:val="20"/>
        </w:rPr>
        <w:t>Ontological Relativity and Other Essays</w:t>
      </w:r>
      <w:r w:rsidRPr="00ED35FA">
        <w:rPr>
          <w:sz w:val="20"/>
          <w:szCs w:val="20"/>
        </w:rPr>
        <w:t>. Columbia University Press, 1969</w:t>
      </w:r>
      <w:r>
        <w:rPr>
          <w:sz w:val="20"/>
          <w:szCs w:val="20"/>
        </w:rPr>
        <w:t>, Chapter 2</w:t>
      </w:r>
      <w:r w:rsidRPr="00ED35FA">
        <w:rPr>
          <w:sz w:val="20"/>
          <w:szCs w:val="20"/>
        </w:rPr>
        <w:t>.</w:t>
      </w:r>
    </w:p>
    <w:p w:rsidR="00976617" w:rsidRDefault="00976617" w:rsidP="00976617">
      <w:pPr>
        <w:pStyle w:val="ListParagraph"/>
        <w:numPr>
          <w:ilvl w:val="0"/>
          <w:numId w:val="1"/>
        </w:numPr>
        <w:shd w:val="clear" w:color="auto" w:fill="DEEAF6" w:themeFill="accent1" w:themeFillTint="33"/>
        <w:rPr>
          <w:sz w:val="24"/>
          <w:szCs w:val="24"/>
        </w:rPr>
      </w:pPr>
      <w:r w:rsidRPr="00976617">
        <w:rPr>
          <w:sz w:val="24"/>
          <w:szCs w:val="24"/>
        </w:rPr>
        <w:t>Cognitive Science: Emotion and Metaphor</w:t>
      </w:r>
    </w:p>
    <w:p w:rsidR="009A104B" w:rsidRDefault="005138CC" w:rsidP="009A104B">
      <w:pPr>
        <w:pStyle w:val="ListParagraph"/>
        <w:numPr>
          <w:ilvl w:val="1"/>
          <w:numId w:val="1"/>
        </w:numPr>
        <w:shd w:val="clear" w:color="auto" w:fill="FFFFFF" w:themeFill="background1"/>
        <w:rPr>
          <w:sz w:val="24"/>
          <w:szCs w:val="24"/>
        </w:rPr>
      </w:pPr>
      <w:r w:rsidRPr="005138CC">
        <w:rPr>
          <w:sz w:val="24"/>
          <w:szCs w:val="24"/>
        </w:rPr>
        <w:t>Metaphor &amp; Metamorphosis</w:t>
      </w:r>
    </w:p>
    <w:p w:rsidR="0001237E" w:rsidRDefault="0001237E" w:rsidP="0001237E">
      <w:pPr>
        <w:pStyle w:val="ListParagraph"/>
        <w:numPr>
          <w:ilvl w:val="2"/>
          <w:numId w:val="1"/>
        </w:numPr>
        <w:shd w:val="clear" w:color="auto" w:fill="FFFFFF" w:themeFill="background1"/>
        <w:rPr>
          <w:sz w:val="20"/>
          <w:szCs w:val="20"/>
        </w:rPr>
      </w:pPr>
      <w:proofErr w:type="spellStart"/>
      <w:r w:rsidRPr="0001237E">
        <w:rPr>
          <w:sz w:val="20"/>
          <w:szCs w:val="20"/>
        </w:rPr>
        <w:t>Ricoeur</w:t>
      </w:r>
      <w:proofErr w:type="spellEnd"/>
      <w:r w:rsidRPr="0001237E">
        <w:rPr>
          <w:sz w:val="20"/>
          <w:szCs w:val="20"/>
        </w:rPr>
        <w:t>, Paul. “The Metaphorical Process as Cognition, Imagination, and Feeling.” C</w:t>
      </w:r>
      <w:r w:rsidRPr="0001237E">
        <w:rPr>
          <w:i/>
          <w:iCs/>
          <w:sz w:val="20"/>
          <w:szCs w:val="20"/>
        </w:rPr>
        <w:t>ritical Inquiry</w:t>
      </w:r>
      <w:r w:rsidRPr="0001237E">
        <w:rPr>
          <w:sz w:val="20"/>
          <w:szCs w:val="20"/>
        </w:rPr>
        <w:t> 5, no. 1 (1978): 143–159</w:t>
      </w:r>
      <w:r>
        <w:rPr>
          <w:sz w:val="20"/>
          <w:szCs w:val="20"/>
        </w:rPr>
        <w:t>.</w:t>
      </w:r>
    </w:p>
    <w:p w:rsidR="0001237E" w:rsidRDefault="00A65626" w:rsidP="00A65626">
      <w:pPr>
        <w:pStyle w:val="ListParagraph"/>
        <w:numPr>
          <w:ilvl w:val="2"/>
          <w:numId w:val="1"/>
        </w:numPr>
        <w:shd w:val="clear" w:color="auto" w:fill="FFFFFF" w:themeFill="background1"/>
        <w:rPr>
          <w:sz w:val="20"/>
          <w:szCs w:val="20"/>
        </w:rPr>
      </w:pPr>
      <w:r w:rsidRPr="00A65626">
        <w:rPr>
          <w:sz w:val="20"/>
          <w:szCs w:val="20"/>
        </w:rPr>
        <w:t xml:space="preserve">Cohen, Ted. “Metaphor, Feeling, and Narrative.” </w:t>
      </w:r>
      <w:r w:rsidRPr="00A65626">
        <w:rPr>
          <w:i/>
          <w:iCs/>
          <w:sz w:val="20"/>
          <w:szCs w:val="20"/>
        </w:rPr>
        <w:t>Philosophy and Literature</w:t>
      </w:r>
      <w:r w:rsidRPr="00A65626">
        <w:rPr>
          <w:sz w:val="20"/>
          <w:szCs w:val="20"/>
        </w:rPr>
        <w:t xml:space="preserve"> 21, no. 2 (1997): 223–244</w:t>
      </w:r>
      <w:r>
        <w:rPr>
          <w:sz w:val="20"/>
          <w:szCs w:val="20"/>
        </w:rPr>
        <w:t>.</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Metaphor: Embodiment or Creativity?</w:t>
      </w:r>
    </w:p>
    <w:p w:rsidR="001C3A65" w:rsidRDefault="001C3A65" w:rsidP="001C3A65">
      <w:pPr>
        <w:pStyle w:val="ListParagraph"/>
        <w:numPr>
          <w:ilvl w:val="2"/>
          <w:numId w:val="1"/>
        </w:numPr>
        <w:shd w:val="clear" w:color="auto" w:fill="FFFFFF" w:themeFill="background1"/>
        <w:rPr>
          <w:sz w:val="24"/>
          <w:szCs w:val="24"/>
        </w:rPr>
      </w:pPr>
      <w:proofErr w:type="spellStart"/>
      <w:r w:rsidRPr="001C3A65">
        <w:rPr>
          <w:sz w:val="20"/>
          <w:szCs w:val="20"/>
        </w:rPr>
        <w:t>Kulka</w:t>
      </w:r>
      <w:proofErr w:type="spellEnd"/>
      <w:r w:rsidRPr="001C3A65">
        <w:rPr>
          <w:sz w:val="20"/>
          <w:szCs w:val="20"/>
        </w:rPr>
        <w:t>, Tomas. “How Metaphor Makes Its Wonders.” Poetics Today 13, no. 4 (1992): 795–806</w:t>
      </w:r>
      <w:r w:rsidRPr="001C3A65">
        <w:rPr>
          <w:sz w:val="24"/>
          <w:szCs w:val="24"/>
        </w:rPr>
        <w:t>.</w:t>
      </w:r>
    </w:p>
    <w:p w:rsidR="001C3A65" w:rsidRDefault="001C3A65" w:rsidP="001C3A65">
      <w:pPr>
        <w:pStyle w:val="ListParagraph"/>
        <w:numPr>
          <w:ilvl w:val="2"/>
          <w:numId w:val="1"/>
        </w:numPr>
        <w:shd w:val="clear" w:color="auto" w:fill="FFFFFF" w:themeFill="background1"/>
        <w:rPr>
          <w:sz w:val="24"/>
          <w:szCs w:val="24"/>
        </w:rPr>
      </w:pPr>
      <w:r w:rsidRPr="001C3A65">
        <w:rPr>
          <w:sz w:val="20"/>
          <w:szCs w:val="20"/>
        </w:rPr>
        <w:t>Brockman, John. “</w:t>
      </w:r>
      <w:r w:rsidR="00737978" w:rsidRPr="001C3A65">
        <w:rPr>
          <w:sz w:val="20"/>
          <w:szCs w:val="20"/>
        </w:rPr>
        <w:t>‘Philosophy</w:t>
      </w:r>
      <w:r w:rsidRPr="001C3A65">
        <w:rPr>
          <w:sz w:val="20"/>
          <w:szCs w:val="20"/>
        </w:rPr>
        <w:t xml:space="preserve"> in the Flesh’: A Talk with George </w:t>
      </w:r>
      <w:proofErr w:type="spellStart"/>
      <w:r w:rsidRPr="001C3A65">
        <w:rPr>
          <w:sz w:val="20"/>
          <w:szCs w:val="20"/>
        </w:rPr>
        <w:t>Lakoff</w:t>
      </w:r>
      <w:proofErr w:type="spellEnd"/>
      <w:r w:rsidRPr="001C3A65">
        <w:rPr>
          <w:sz w:val="20"/>
          <w:szCs w:val="20"/>
        </w:rPr>
        <w:t xml:space="preserve">.” A Parte </w:t>
      </w:r>
      <w:proofErr w:type="spellStart"/>
      <w:r w:rsidRPr="001C3A65">
        <w:rPr>
          <w:sz w:val="20"/>
          <w:szCs w:val="20"/>
        </w:rPr>
        <w:t>Rei</w:t>
      </w:r>
      <w:proofErr w:type="spellEnd"/>
      <w:r w:rsidRPr="001C3A65">
        <w:rPr>
          <w:sz w:val="20"/>
          <w:szCs w:val="20"/>
        </w:rPr>
        <w:t xml:space="preserve">: </w:t>
      </w:r>
      <w:proofErr w:type="spellStart"/>
      <w:r w:rsidRPr="001C3A65">
        <w:rPr>
          <w:sz w:val="20"/>
          <w:szCs w:val="20"/>
        </w:rPr>
        <w:t>Revista</w:t>
      </w:r>
      <w:proofErr w:type="spellEnd"/>
      <w:r w:rsidRPr="001C3A65">
        <w:rPr>
          <w:sz w:val="20"/>
          <w:szCs w:val="20"/>
        </w:rPr>
        <w:t xml:space="preserve"> de </w:t>
      </w:r>
      <w:proofErr w:type="spellStart"/>
      <w:r w:rsidRPr="001C3A65">
        <w:rPr>
          <w:sz w:val="20"/>
          <w:szCs w:val="20"/>
        </w:rPr>
        <w:t>Filosofía</w:t>
      </w:r>
      <w:proofErr w:type="spellEnd"/>
      <w:r w:rsidRPr="001C3A65">
        <w:rPr>
          <w:sz w:val="20"/>
          <w:szCs w:val="20"/>
        </w:rPr>
        <w:t xml:space="preserve"> no. 14 (2001): 2</w:t>
      </w:r>
      <w:r w:rsidRPr="001C3A65">
        <w:rPr>
          <w:sz w:val="24"/>
          <w:szCs w:val="24"/>
        </w:rPr>
        <w:t>.</w:t>
      </w:r>
    </w:p>
    <w:p w:rsidR="001C3A65" w:rsidRPr="001C3A65" w:rsidRDefault="001C3A65" w:rsidP="001C3A65">
      <w:pPr>
        <w:pStyle w:val="ListParagraph"/>
        <w:numPr>
          <w:ilvl w:val="2"/>
          <w:numId w:val="1"/>
        </w:numPr>
        <w:shd w:val="clear" w:color="auto" w:fill="FFFFFF" w:themeFill="background1"/>
        <w:rPr>
          <w:sz w:val="20"/>
          <w:szCs w:val="20"/>
        </w:rPr>
      </w:pPr>
      <w:proofErr w:type="spellStart"/>
      <w:r w:rsidRPr="001C3A65">
        <w:rPr>
          <w:sz w:val="20"/>
          <w:szCs w:val="20"/>
        </w:rPr>
        <w:t>Zemach</w:t>
      </w:r>
      <w:proofErr w:type="spellEnd"/>
      <w:r>
        <w:rPr>
          <w:sz w:val="20"/>
          <w:szCs w:val="20"/>
        </w:rPr>
        <w:t xml:space="preserve">, “Metaphors and Ways of Life,” in </w:t>
      </w:r>
      <w:proofErr w:type="spellStart"/>
      <w:r w:rsidRPr="001C3A65">
        <w:rPr>
          <w:sz w:val="20"/>
          <w:szCs w:val="20"/>
        </w:rPr>
        <w:t>Hintikka</w:t>
      </w:r>
      <w:proofErr w:type="spellEnd"/>
      <w:r w:rsidRPr="001C3A65">
        <w:rPr>
          <w:sz w:val="20"/>
          <w:szCs w:val="20"/>
        </w:rPr>
        <w:t xml:space="preserve">, </w:t>
      </w:r>
      <w:proofErr w:type="spellStart"/>
      <w:r w:rsidRPr="001C3A65">
        <w:rPr>
          <w:sz w:val="20"/>
          <w:szCs w:val="20"/>
        </w:rPr>
        <w:t>Jaakko</w:t>
      </w:r>
      <w:proofErr w:type="spellEnd"/>
      <w:r w:rsidRPr="001C3A65">
        <w:rPr>
          <w:sz w:val="20"/>
          <w:szCs w:val="20"/>
        </w:rPr>
        <w:t xml:space="preserve">. </w:t>
      </w:r>
      <w:r w:rsidRPr="001C3A65">
        <w:rPr>
          <w:i/>
          <w:iCs/>
          <w:sz w:val="20"/>
          <w:szCs w:val="20"/>
        </w:rPr>
        <w:t>Aspects of Metaphor</w:t>
      </w:r>
      <w:r w:rsidRPr="001C3A65">
        <w:rPr>
          <w:sz w:val="20"/>
          <w:szCs w:val="20"/>
        </w:rPr>
        <w:t>. Springer, 1994.</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Disgust: Contagion &amp; Similarity</w:t>
      </w:r>
    </w:p>
    <w:p w:rsidR="003B500A" w:rsidRDefault="006320F9" w:rsidP="006320F9">
      <w:pPr>
        <w:pStyle w:val="ListParagraph"/>
        <w:numPr>
          <w:ilvl w:val="2"/>
          <w:numId w:val="1"/>
        </w:numPr>
        <w:shd w:val="clear" w:color="auto" w:fill="FFFFFF" w:themeFill="background1"/>
        <w:rPr>
          <w:sz w:val="24"/>
          <w:szCs w:val="24"/>
        </w:rPr>
      </w:pPr>
      <w:proofErr w:type="spellStart"/>
      <w:r w:rsidRPr="006320F9">
        <w:rPr>
          <w:sz w:val="20"/>
          <w:szCs w:val="20"/>
        </w:rPr>
        <w:t>Rozin</w:t>
      </w:r>
      <w:proofErr w:type="spellEnd"/>
      <w:r w:rsidRPr="006320F9">
        <w:rPr>
          <w:sz w:val="20"/>
          <w:szCs w:val="20"/>
        </w:rPr>
        <w:t xml:space="preserve">, Paul, Linda </w:t>
      </w:r>
      <w:proofErr w:type="spellStart"/>
      <w:r w:rsidRPr="006320F9">
        <w:rPr>
          <w:sz w:val="20"/>
          <w:szCs w:val="20"/>
        </w:rPr>
        <w:t>Millman</w:t>
      </w:r>
      <w:proofErr w:type="spellEnd"/>
      <w:r w:rsidRPr="006320F9">
        <w:rPr>
          <w:sz w:val="20"/>
          <w:szCs w:val="20"/>
        </w:rPr>
        <w:t xml:space="preserve">, and Carol </w:t>
      </w:r>
      <w:proofErr w:type="spellStart"/>
      <w:r w:rsidRPr="006320F9">
        <w:rPr>
          <w:sz w:val="20"/>
          <w:szCs w:val="20"/>
        </w:rPr>
        <w:t>Nemeroff</w:t>
      </w:r>
      <w:proofErr w:type="spellEnd"/>
      <w:r w:rsidRPr="006320F9">
        <w:rPr>
          <w:sz w:val="20"/>
          <w:szCs w:val="20"/>
        </w:rPr>
        <w:t>. “Operation of the Laws of Sympathetic Magic in Disgust and Other Domains.” Journal of Personality and Social Psychology 50, no. 4 (1986): 703–712.</w:t>
      </w:r>
      <w:r w:rsidRPr="006320F9">
        <w:rPr>
          <w:sz w:val="24"/>
          <w:szCs w:val="24"/>
        </w:rPr>
        <w:t xml:space="preserve"> </w:t>
      </w:r>
    </w:p>
    <w:p w:rsidR="006320F9" w:rsidRPr="006320F9" w:rsidRDefault="006320F9" w:rsidP="006320F9">
      <w:pPr>
        <w:pStyle w:val="ListParagraph"/>
        <w:numPr>
          <w:ilvl w:val="2"/>
          <w:numId w:val="1"/>
        </w:numPr>
        <w:shd w:val="clear" w:color="auto" w:fill="FFFFFF" w:themeFill="background1"/>
        <w:rPr>
          <w:sz w:val="24"/>
          <w:szCs w:val="24"/>
        </w:rPr>
      </w:pPr>
      <w:proofErr w:type="spellStart"/>
      <w:r w:rsidRPr="006320F9">
        <w:rPr>
          <w:sz w:val="20"/>
          <w:szCs w:val="20"/>
        </w:rPr>
        <w:t>Kekes</w:t>
      </w:r>
      <w:proofErr w:type="spellEnd"/>
      <w:r w:rsidRPr="006320F9">
        <w:rPr>
          <w:sz w:val="20"/>
          <w:szCs w:val="20"/>
        </w:rPr>
        <w:t>, John. “Disgust and Moral Taboos.” Philosophy 67, no. 262 (January 30, 2009): 431.</w:t>
      </w:r>
    </w:p>
    <w:p w:rsidR="006320F9" w:rsidRDefault="00737978" w:rsidP="00737978">
      <w:pPr>
        <w:pStyle w:val="ListParagraph"/>
        <w:numPr>
          <w:ilvl w:val="2"/>
          <w:numId w:val="1"/>
        </w:numPr>
        <w:shd w:val="clear" w:color="auto" w:fill="FFFFFF" w:themeFill="background1"/>
        <w:rPr>
          <w:sz w:val="20"/>
          <w:szCs w:val="20"/>
        </w:rPr>
      </w:pPr>
      <w:r w:rsidRPr="00632B1D">
        <w:rPr>
          <w:sz w:val="20"/>
          <w:szCs w:val="20"/>
        </w:rPr>
        <w:t xml:space="preserve">Goldenberg, J. L., et al. “I Am Not an Animal: Mortality Salience, Disgust, and the Denial of Human </w:t>
      </w:r>
      <w:proofErr w:type="spellStart"/>
      <w:r w:rsidRPr="00632B1D">
        <w:rPr>
          <w:sz w:val="20"/>
          <w:szCs w:val="20"/>
        </w:rPr>
        <w:t>Creatureliness</w:t>
      </w:r>
      <w:proofErr w:type="spellEnd"/>
      <w:r w:rsidRPr="00632B1D">
        <w:rPr>
          <w:sz w:val="20"/>
          <w:szCs w:val="20"/>
        </w:rPr>
        <w:t xml:space="preserve">.” </w:t>
      </w:r>
      <w:r w:rsidRPr="00632B1D">
        <w:rPr>
          <w:i/>
          <w:iCs/>
          <w:sz w:val="20"/>
          <w:szCs w:val="20"/>
        </w:rPr>
        <w:t>Journal of Experimental Psychology,</w:t>
      </w:r>
      <w:r w:rsidRPr="00632B1D">
        <w:rPr>
          <w:sz w:val="20"/>
          <w:szCs w:val="20"/>
        </w:rPr>
        <w:t xml:space="preserve"> Vol. 130, no. 3 (2001): 427–435.</w:t>
      </w:r>
    </w:p>
    <w:p w:rsidR="00632B1D" w:rsidRPr="00632B1D" w:rsidRDefault="00632B1D" w:rsidP="00632B1D">
      <w:pPr>
        <w:pStyle w:val="ListParagraph"/>
        <w:numPr>
          <w:ilvl w:val="2"/>
          <w:numId w:val="1"/>
        </w:numPr>
        <w:shd w:val="clear" w:color="auto" w:fill="FFFFFF" w:themeFill="background1"/>
        <w:rPr>
          <w:sz w:val="20"/>
          <w:szCs w:val="20"/>
        </w:rPr>
      </w:pPr>
      <w:r w:rsidRPr="00632B1D">
        <w:rPr>
          <w:sz w:val="20"/>
          <w:szCs w:val="20"/>
        </w:rPr>
        <w:t>Kelly, Daniel Ryan. </w:t>
      </w:r>
      <w:r w:rsidRPr="00632B1D">
        <w:rPr>
          <w:i/>
          <w:iCs/>
          <w:sz w:val="20"/>
          <w:szCs w:val="20"/>
        </w:rPr>
        <w:t>Yuck</w:t>
      </w:r>
      <w:proofErr w:type="gramStart"/>
      <w:r w:rsidRPr="00632B1D">
        <w:rPr>
          <w:i/>
          <w:iCs/>
          <w:sz w:val="20"/>
          <w:szCs w:val="20"/>
        </w:rPr>
        <w:t>!:</w:t>
      </w:r>
      <w:proofErr w:type="gramEnd"/>
      <w:r w:rsidRPr="00632B1D">
        <w:rPr>
          <w:i/>
          <w:iCs/>
          <w:sz w:val="20"/>
          <w:szCs w:val="20"/>
        </w:rPr>
        <w:t xml:space="preserve"> The Nature and Moral Significance of Disgust</w:t>
      </w:r>
      <w:r w:rsidRPr="00632B1D">
        <w:rPr>
          <w:sz w:val="20"/>
          <w:szCs w:val="20"/>
        </w:rPr>
        <w:t>. MIT Press, 2011 chapter 4.</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Emotion: Qualitative Interface with Reality</w:t>
      </w:r>
    </w:p>
    <w:p w:rsidR="00E413DD" w:rsidRDefault="00A44AE9" w:rsidP="00A44AE9">
      <w:pPr>
        <w:pStyle w:val="ListParagraph"/>
        <w:numPr>
          <w:ilvl w:val="2"/>
          <w:numId w:val="1"/>
        </w:numPr>
        <w:shd w:val="clear" w:color="auto" w:fill="FFFFFF" w:themeFill="background1"/>
        <w:rPr>
          <w:sz w:val="20"/>
          <w:szCs w:val="20"/>
        </w:rPr>
      </w:pPr>
      <w:proofErr w:type="spellStart"/>
      <w:r w:rsidRPr="00A44AE9">
        <w:rPr>
          <w:sz w:val="20"/>
          <w:szCs w:val="20"/>
        </w:rPr>
        <w:t>Grene</w:t>
      </w:r>
      <w:proofErr w:type="spellEnd"/>
      <w:r w:rsidRPr="00A44AE9">
        <w:rPr>
          <w:sz w:val="20"/>
          <w:szCs w:val="20"/>
        </w:rPr>
        <w:t xml:space="preserve">, Marjorie. “Sartre’s Theory of the Emotions.” </w:t>
      </w:r>
      <w:r w:rsidRPr="00A44AE9">
        <w:rPr>
          <w:i/>
          <w:iCs/>
          <w:sz w:val="20"/>
          <w:szCs w:val="20"/>
        </w:rPr>
        <w:t>Yale French Studies</w:t>
      </w:r>
      <w:r w:rsidRPr="00A44AE9">
        <w:rPr>
          <w:sz w:val="20"/>
          <w:szCs w:val="20"/>
        </w:rPr>
        <w:t xml:space="preserve"> no. 1 (January 1, 1948): 97–101. </w:t>
      </w:r>
    </w:p>
    <w:p w:rsidR="00A44AE9" w:rsidRPr="00A44AE9" w:rsidRDefault="00A44AE9" w:rsidP="00A44AE9">
      <w:pPr>
        <w:pStyle w:val="ListParagraph"/>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A44AE9">
        <w:rPr>
          <w:sz w:val="20"/>
          <w:szCs w:val="20"/>
        </w:rPr>
        <w:t>Sartre. “Sketch for a Theory of the Emotions” (selection).</w:t>
      </w:r>
    </w:p>
    <w:p w:rsidR="00A44AE9" w:rsidRPr="00A44AE9" w:rsidRDefault="00A44AE9" w:rsidP="00A44AE9">
      <w:pPr>
        <w:pStyle w:val="ListParagraph"/>
        <w:numPr>
          <w:ilvl w:val="2"/>
          <w:numId w:val="1"/>
        </w:numPr>
        <w:shd w:val="clear" w:color="auto" w:fill="FFFFFF" w:themeFill="background1"/>
        <w:rPr>
          <w:sz w:val="20"/>
          <w:szCs w:val="20"/>
        </w:rPr>
      </w:pPr>
      <w:proofErr w:type="spellStart"/>
      <w:r w:rsidRPr="00A44AE9">
        <w:rPr>
          <w:sz w:val="20"/>
          <w:szCs w:val="20"/>
        </w:rPr>
        <w:t>Baier</w:t>
      </w:r>
      <w:proofErr w:type="spellEnd"/>
      <w:r w:rsidRPr="00A44AE9">
        <w:rPr>
          <w:sz w:val="20"/>
          <w:szCs w:val="20"/>
        </w:rPr>
        <w:t>, A. “What Emotions Are about.</w:t>
      </w:r>
      <w:proofErr w:type="gramStart"/>
      <w:r w:rsidRPr="00A44AE9">
        <w:rPr>
          <w:sz w:val="20"/>
          <w:szCs w:val="20"/>
        </w:rPr>
        <w:t>”</w:t>
      </w:r>
      <w:proofErr w:type="gramEnd"/>
      <w:r w:rsidRPr="00A44AE9">
        <w:rPr>
          <w:sz w:val="20"/>
          <w:szCs w:val="20"/>
        </w:rPr>
        <w:t xml:space="preserve"> Philosophical Perspectives 4 (1990): 1–29.</w:t>
      </w:r>
    </w:p>
    <w:p w:rsidR="005138CC" w:rsidRDefault="005138CC" w:rsidP="009A104B">
      <w:pPr>
        <w:pStyle w:val="ListParagraph"/>
        <w:numPr>
          <w:ilvl w:val="1"/>
          <w:numId w:val="1"/>
        </w:numPr>
        <w:shd w:val="clear" w:color="auto" w:fill="FFFFFF" w:themeFill="background1"/>
        <w:rPr>
          <w:sz w:val="24"/>
          <w:szCs w:val="24"/>
        </w:rPr>
      </w:pPr>
      <w:r w:rsidRPr="005138CC">
        <w:rPr>
          <w:sz w:val="24"/>
          <w:szCs w:val="24"/>
        </w:rPr>
        <w:t>Rationality &amp; Affectivity: Scopes of Coherence</w:t>
      </w:r>
    </w:p>
    <w:p w:rsidR="001F6F84" w:rsidRPr="001F6F84" w:rsidRDefault="001F6F84" w:rsidP="001F6F84">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4"/>
          <w:szCs w:val="24"/>
        </w:rPr>
      </w:pPr>
      <w:r w:rsidRPr="001F6F84">
        <w:rPr>
          <w:sz w:val="20"/>
          <w:szCs w:val="20"/>
        </w:rPr>
        <w:t>James. “Sentiment of Rationality” (selection).</w:t>
      </w:r>
      <w:r>
        <w:rPr>
          <w:sz w:val="20"/>
          <w:szCs w:val="20"/>
        </w:rPr>
        <w:t xml:space="preserve"> </w:t>
      </w:r>
    </w:p>
    <w:p w:rsidR="00612CD0" w:rsidRDefault="001F6F84" w:rsidP="00612CD0">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proofErr w:type="spellStart"/>
      <w:r w:rsidRPr="001F6F84">
        <w:rPr>
          <w:sz w:val="20"/>
          <w:szCs w:val="20"/>
        </w:rPr>
        <w:t>Toulmin</w:t>
      </w:r>
      <w:proofErr w:type="spellEnd"/>
      <w:r w:rsidRPr="001F6F84">
        <w:rPr>
          <w:sz w:val="20"/>
          <w:szCs w:val="20"/>
        </w:rPr>
        <w:t>, Stephen. “Be Reasonable, Not Certain.” </w:t>
      </w:r>
      <w:r w:rsidRPr="001F6F84">
        <w:rPr>
          <w:i/>
          <w:iCs/>
          <w:sz w:val="20"/>
          <w:szCs w:val="20"/>
        </w:rPr>
        <w:t>Concepts and Transformation</w:t>
      </w:r>
      <w:r w:rsidRPr="001F6F84">
        <w:rPr>
          <w:sz w:val="20"/>
          <w:szCs w:val="20"/>
        </w:rPr>
        <w:t> 5, no. 2 (January 1, 2000): 151–163. </w:t>
      </w:r>
    </w:p>
    <w:p w:rsidR="001F6F84" w:rsidRPr="001F6F84" w:rsidRDefault="001F6F84" w:rsidP="00612CD0">
      <w:pPr>
        <w:pStyle w:val="ListParagraph"/>
        <w:numPr>
          <w:ilvl w:val="2"/>
          <w:numId w:val="1"/>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40" w:lineRule="auto"/>
        <w:rPr>
          <w:sz w:val="20"/>
          <w:szCs w:val="20"/>
        </w:rPr>
      </w:pPr>
      <w:r w:rsidRPr="001F6F84">
        <w:rPr>
          <w:sz w:val="20"/>
          <w:szCs w:val="20"/>
        </w:rPr>
        <w:t xml:space="preserve">Carroll, Lewis. </w:t>
      </w:r>
      <w:r w:rsidRPr="001F6F84">
        <w:rPr>
          <w:i/>
          <w:iCs/>
          <w:sz w:val="20"/>
          <w:szCs w:val="20"/>
        </w:rPr>
        <w:t>What the Tortoise Said to Achilles</w:t>
      </w:r>
      <w:r w:rsidRPr="001F6F84">
        <w:rPr>
          <w:sz w:val="20"/>
          <w:szCs w:val="20"/>
        </w:rPr>
        <w:t>.</w:t>
      </w:r>
    </w:p>
    <w:p w:rsidR="009A104B" w:rsidRDefault="009A104B" w:rsidP="009A104B">
      <w:pPr>
        <w:pStyle w:val="ListParagraph"/>
        <w:numPr>
          <w:ilvl w:val="0"/>
          <w:numId w:val="1"/>
        </w:numPr>
        <w:shd w:val="clear" w:color="auto" w:fill="DEEAF6" w:themeFill="accent1" w:themeFillTint="33"/>
        <w:rPr>
          <w:sz w:val="24"/>
          <w:szCs w:val="24"/>
        </w:rPr>
      </w:pPr>
      <w:r w:rsidRPr="009A104B">
        <w:rPr>
          <w:sz w:val="24"/>
          <w:szCs w:val="24"/>
        </w:rPr>
        <w:t>Elements of a Theory of MSR</w:t>
      </w:r>
    </w:p>
    <w:p w:rsidR="009A104B" w:rsidRDefault="009A104B" w:rsidP="009A104B">
      <w:pPr>
        <w:pStyle w:val="ListParagraph"/>
        <w:numPr>
          <w:ilvl w:val="1"/>
          <w:numId w:val="1"/>
        </w:numPr>
        <w:shd w:val="clear" w:color="auto" w:fill="FFFFFF" w:themeFill="background1"/>
        <w:rPr>
          <w:sz w:val="24"/>
          <w:szCs w:val="24"/>
        </w:rPr>
      </w:pPr>
      <w:r>
        <w:rPr>
          <w:sz w:val="24"/>
          <w:szCs w:val="24"/>
        </w:rPr>
        <w:t>Gods: Persons or Personifications?</w:t>
      </w:r>
    </w:p>
    <w:p w:rsidR="00704F9B" w:rsidRDefault="003027A0" w:rsidP="003027A0">
      <w:pPr>
        <w:pStyle w:val="ListParagraph"/>
        <w:numPr>
          <w:ilvl w:val="2"/>
          <w:numId w:val="1"/>
        </w:numPr>
        <w:shd w:val="clear" w:color="auto" w:fill="FFFFFF" w:themeFill="background1"/>
        <w:rPr>
          <w:sz w:val="20"/>
          <w:szCs w:val="20"/>
        </w:rPr>
      </w:pPr>
      <w:r w:rsidRPr="003027A0">
        <w:rPr>
          <w:sz w:val="20"/>
          <w:szCs w:val="20"/>
        </w:rPr>
        <w:lastRenderedPageBreak/>
        <w:t xml:space="preserve">Stafford, Emma. </w:t>
      </w:r>
      <w:r w:rsidRPr="003027A0">
        <w:rPr>
          <w:i/>
          <w:iCs/>
          <w:sz w:val="20"/>
          <w:szCs w:val="20"/>
        </w:rPr>
        <w:t>Worshipping Virtues: Personification and the Divine in Ancient Greece</w:t>
      </w:r>
      <w:r w:rsidRPr="003027A0">
        <w:rPr>
          <w:sz w:val="20"/>
          <w:szCs w:val="20"/>
        </w:rPr>
        <w:t>. Duckworth, 2000, Chapters 1, 2 and 8.</w:t>
      </w:r>
      <w:r>
        <w:rPr>
          <w:sz w:val="20"/>
          <w:szCs w:val="20"/>
        </w:rPr>
        <w:t xml:space="preserve"> </w:t>
      </w:r>
    </w:p>
    <w:p w:rsidR="00704F9B" w:rsidRDefault="003027A0" w:rsidP="00704F9B">
      <w:pPr>
        <w:pStyle w:val="ListParagraph"/>
        <w:numPr>
          <w:ilvl w:val="2"/>
          <w:numId w:val="1"/>
        </w:numPr>
        <w:shd w:val="clear" w:color="auto" w:fill="FFFFFF" w:themeFill="background1"/>
        <w:rPr>
          <w:sz w:val="20"/>
          <w:szCs w:val="20"/>
        </w:rPr>
      </w:pPr>
      <w:r w:rsidRPr="003027A0">
        <w:rPr>
          <w:sz w:val="20"/>
          <w:szCs w:val="20"/>
        </w:rPr>
        <w:t xml:space="preserve">Lilley, Keith D. “Mapping </w:t>
      </w:r>
      <w:proofErr w:type="spellStart"/>
      <w:r w:rsidRPr="003027A0">
        <w:rPr>
          <w:sz w:val="20"/>
          <w:szCs w:val="20"/>
        </w:rPr>
        <w:t>Cosmopolis</w:t>
      </w:r>
      <w:proofErr w:type="spellEnd"/>
      <w:r w:rsidRPr="003027A0">
        <w:rPr>
          <w:sz w:val="20"/>
          <w:szCs w:val="20"/>
        </w:rPr>
        <w:t xml:space="preserve">: Moral Topographies of the Medieval City.” </w:t>
      </w:r>
      <w:r w:rsidRPr="003027A0">
        <w:rPr>
          <w:i/>
          <w:iCs/>
          <w:sz w:val="20"/>
          <w:szCs w:val="20"/>
        </w:rPr>
        <w:t>Environment and Planning D</w:t>
      </w:r>
      <w:r w:rsidRPr="003027A0">
        <w:rPr>
          <w:sz w:val="20"/>
          <w:szCs w:val="20"/>
        </w:rPr>
        <w:t xml:space="preserve"> 22, no. 5 (2004): 681–698.</w:t>
      </w:r>
      <w:r w:rsidR="00704F9B">
        <w:rPr>
          <w:sz w:val="20"/>
          <w:szCs w:val="20"/>
        </w:rPr>
        <w:t xml:space="preserve"> </w:t>
      </w:r>
    </w:p>
    <w:p w:rsidR="00704F9B" w:rsidRPr="00704F9B" w:rsidRDefault="00704F9B" w:rsidP="00704F9B">
      <w:pPr>
        <w:pStyle w:val="ListParagraph"/>
        <w:numPr>
          <w:ilvl w:val="2"/>
          <w:numId w:val="1"/>
        </w:numPr>
        <w:shd w:val="clear" w:color="auto" w:fill="FFFFFF" w:themeFill="background1"/>
        <w:rPr>
          <w:sz w:val="20"/>
          <w:szCs w:val="20"/>
        </w:rPr>
      </w:pPr>
      <w:r w:rsidRPr="00704F9B">
        <w:rPr>
          <w:sz w:val="20"/>
          <w:szCs w:val="20"/>
        </w:rPr>
        <w:t xml:space="preserve">Frank, Adam. </w:t>
      </w:r>
      <w:r w:rsidRPr="00704F9B">
        <w:rPr>
          <w:i/>
          <w:iCs/>
          <w:sz w:val="20"/>
          <w:szCs w:val="20"/>
        </w:rPr>
        <w:t>About Time: Cosmology and Culture at the Twilight of the Big Bang</w:t>
      </w:r>
      <w:r w:rsidRPr="00704F9B">
        <w:rPr>
          <w:sz w:val="20"/>
          <w:szCs w:val="20"/>
        </w:rPr>
        <w:t xml:space="preserve">. </w:t>
      </w:r>
      <w:r>
        <w:rPr>
          <w:sz w:val="20"/>
          <w:szCs w:val="20"/>
        </w:rPr>
        <w:t>New York: Free Press, 2011: Chapters 1, 4, and 8.</w:t>
      </w:r>
    </w:p>
    <w:p w:rsidR="00C57B1E" w:rsidRDefault="00192091" w:rsidP="001C6F57">
      <w:pPr>
        <w:pStyle w:val="ListParagraph"/>
        <w:numPr>
          <w:ilvl w:val="1"/>
          <w:numId w:val="1"/>
        </w:numPr>
        <w:shd w:val="clear" w:color="auto" w:fill="FFFFFF" w:themeFill="background1"/>
        <w:spacing w:after="0" w:line="240" w:lineRule="auto"/>
        <w:ind w:hanging="480"/>
        <w:rPr>
          <w:sz w:val="24"/>
          <w:szCs w:val="24"/>
        </w:rPr>
      </w:pPr>
      <w:r w:rsidRPr="00C57B1E">
        <w:rPr>
          <w:sz w:val="24"/>
          <w:szCs w:val="24"/>
        </w:rPr>
        <w:t>How is conflict between religion and science possible?</w:t>
      </w:r>
    </w:p>
    <w:p w:rsidR="00C57B1E" w:rsidRDefault="00C57B1E" w:rsidP="00C57B1E">
      <w:pPr>
        <w:pStyle w:val="ListParagraph"/>
        <w:numPr>
          <w:ilvl w:val="2"/>
          <w:numId w:val="1"/>
        </w:numPr>
        <w:shd w:val="clear" w:color="auto" w:fill="FFFFFF" w:themeFill="background1"/>
        <w:spacing w:after="0" w:line="240" w:lineRule="auto"/>
        <w:rPr>
          <w:rFonts w:eastAsia="Times New Roman" w:cs="Times New Roman"/>
          <w:sz w:val="24"/>
          <w:szCs w:val="24"/>
          <w:lang w:eastAsia="en-US"/>
          <w14:ligatures w14:val="none"/>
        </w:rPr>
      </w:pPr>
      <w:r w:rsidRPr="00C57B1E">
        <w:rPr>
          <w:rFonts w:eastAsia="Times New Roman" w:cs="Times New Roman"/>
          <w:sz w:val="20"/>
          <w:szCs w:val="20"/>
          <w:lang w:eastAsia="en-US"/>
          <w14:ligatures w14:val="none"/>
        </w:rPr>
        <w:t xml:space="preserve">Smith, Brian Cantwell. </w:t>
      </w:r>
      <w:r w:rsidRPr="00C57B1E">
        <w:rPr>
          <w:rFonts w:eastAsia="Times New Roman" w:cs="Times New Roman"/>
          <w:i/>
          <w:iCs/>
          <w:sz w:val="20"/>
          <w:szCs w:val="20"/>
          <w:lang w:eastAsia="en-US"/>
          <w14:ligatures w14:val="none"/>
        </w:rPr>
        <w:t>God, Approximately</w:t>
      </w:r>
      <w:r>
        <w:rPr>
          <w:rFonts w:eastAsia="Times New Roman" w:cs="Times New Roman"/>
          <w:i/>
          <w:iCs/>
          <w:sz w:val="20"/>
          <w:szCs w:val="20"/>
          <w:lang w:eastAsia="en-US"/>
          <w14:ligatures w14:val="none"/>
        </w:rPr>
        <w:t xml:space="preserve"> </w:t>
      </w:r>
      <w:r w:rsidRPr="00C57B1E">
        <w:rPr>
          <w:rFonts w:eastAsia="Times New Roman" w:cs="Times New Roman"/>
          <w:i/>
          <w:iCs/>
          <w:sz w:val="20"/>
          <w:szCs w:val="20"/>
          <w:lang w:eastAsia="en-US"/>
          <w14:ligatures w14:val="none"/>
        </w:rPr>
        <w:t>• 4</w:t>
      </w:r>
      <w:r w:rsidRPr="00C57B1E">
        <w:rPr>
          <w:rFonts w:eastAsia="Times New Roman" w:cs="Times New Roman"/>
          <w:sz w:val="20"/>
          <w:szCs w:val="20"/>
          <w:lang w:eastAsia="en-US"/>
          <w14:ligatures w14:val="none"/>
        </w:rPr>
        <w:t>, 1998.</w:t>
      </w:r>
      <w:r w:rsidRPr="00C57B1E">
        <w:rPr>
          <w:rFonts w:eastAsia="Times New Roman" w:cs="Times New Roman"/>
          <w:sz w:val="24"/>
          <w:szCs w:val="24"/>
          <w:lang w:eastAsia="en-US"/>
          <w14:ligatures w14:val="none"/>
        </w:rPr>
        <w:t xml:space="preserve"> </w:t>
      </w:r>
    </w:p>
    <w:p w:rsidR="00C57B1E" w:rsidRPr="00C57B1E" w:rsidRDefault="00C57B1E" w:rsidP="00AC750A">
      <w:pPr>
        <w:pStyle w:val="ListParagraph"/>
        <w:numPr>
          <w:ilvl w:val="2"/>
          <w:numId w:val="1"/>
        </w:numPr>
        <w:shd w:val="clear" w:color="auto" w:fill="FFFFFF" w:themeFill="background1"/>
        <w:spacing w:after="0" w:line="240" w:lineRule="auto"/>
        <w:rPr>
          <w:sz w:val="24"/>
          <w:szCs w:val="24"/>
        </w:rPr>
      </w:pPr>
      <w:proofErr w:type="spellStart"/>
      <w:r w:rsidRPr="00C57B1E">
        <w:rPr>
          <w:rFonts w:eastAsia="Times New Roman" w:cs="Times New Roman"/>
          <w:sz w:val="20"/>
          <w:szCs w:val="20"/>
          <w:lang w:eastAsia="en-US"/>
          <w14:ligatures w14:val="none"/>
        </w:rPr>
        <w:t>Bohm</w:t>
      </w:r>
      <w:proofErr w:type="spellEnd"/>
      <w:r w:rsidRPr="00C57B1E">
        <w:rPr>
          <w:rFonts w:eastAsia="Times New Roman" w:cs="Times New Roman"/>
          <w:sz w:val="20"/>
          <w:szCs w:val="20"/>
          <w:lang w:eastAsia="en-US"/>
          <w14:ligatures w14:val="none"/>
        </w:rPr>
        <w:t xml:space="preserve">, David. </w:t>
      </w:r>
      <w:r w:rsidRPr="00C57B1E">
        <w:rPr>
          <w:rFonts w:eastAsia="Times New Roman" w:cs="Times New Roman"/>
          <w:i/>
          <w:iCs/>
          <w:sz w:val="20"/>
          <w:szCs w:val="20"/>
          <w:lang w:eastAsia="en-US"/>
          <w14:ligatures w14:val="none"/>
        </w:rPr>
        <w:t>Wholeness and the Implicate Order</w:t>
      </w:r>
      <w:r w:rsidRPr="00C57B1E">
        <w:rPr>
          <w:rFonts w:eastAsia="Times New Roman" w:cs="Times New Roman"/>
          <w:sz w:val="20"/>
          <w:szCs w:val="20"/>
          <w:lang w:eastAsia="en-US"/>
          <w14:ligatures w14:val="none"/>
        </w:rPr>
        <w:t>. Routledge, 2002; Chapter 1 “Fragmentation and Wholeness.”</w:t>
      </w:r>
    </w:p>
    <w:p w:rsidR="00192091" w:rsidRDefault="00192091" w:rsidP="00192091">
      <w:pPr>
        <w:pStyle w:val="ListParagraph"/>
        <w:numPr>
          <w:ilvl w:val="1"/>
          <w:numId w:val="1"/>
        </w:numPr>
        <w:shd w:val="clear" w:color="auto" w:fill="FFFFFF" w:themeFill="background1"/>
        <w:rPr>
          <w:sz w:val="24"/>
          <w:szCs w:val="24"/>
        </w:rPr>
      </w:pPr>
      <w:r w:rsidRPr="00192091">
        <w:rPr>
          <w:sz w:val="24"/>
          <w:szCs w:val="24"/>
        </w:rPr>
        <w:t>Consciousness: Are we at home in the universe?</w:t>
      </w:r>
    </w:p>
    <w:p w:rsidR="00F516C3" w:rsidRDefault="00F516C3" w:rsidP="00F516C3">
      <w:pPr>
        <w:pStyle w:val="ListParagraph"/>
        <w:numPr>
          <w:ilvl w:val="2"/>
          <w:numId w:val="1"/>
        </w:numPr>
        <w:shd w:val="clear" w:color="auto" w:fill="FFFFFF" w:themeFill="background1"/>
        <w:rPr>
          <w:sz w:val="20"/>
          <w:szCs w:val="20"/>
        </w:rPr>
      </w:pPr>
      <w:r w:rsidRPr="00F516C3">
        <w:rPr>
          <w:sz w:val="20"/>
          <w:szCs w:val="20"/>
        </w:rPr>
        <w:t>Seth, Anil K. “Frontiers: The Grand Challenge of Consciousness.” </w:t>
      </w:r>
      <w:r w:rsidRPr="00F516C3">
        <w:rPr>
          <w:i/>
          <w:iCs/>
          <w:sz w:val="20"/>
          <w:szCs w:val="20"/>
        </w:rPr>
        <w:t>Frontiers in Consciousness Research</w:t>
      </w:r>
      <w:r w:rsidRPr="00F516C3">
        <w:rPr>
          <w:sz w:val="20"/>
          <w:szCs w:val="20"/>
        </w:rPr>
        <w:t> 1 (2010)</w:t>
      </w:r>
      <w:r>
        <w:rPr>
          <w:sz w:val="20"/>
          <w:szCs w:val="20"/>
        </w:rPr>
        <w:t xml:space="preserve">. </w:t>
      </w:r>
    </w:p>
    <w:p w:rsidR="00754CAB" w:rsidRDefault="00F516C3" w:rsidP="00754CAB">
      <w:pPr>
        <w:pStyle w:val="ListParagraph"/>
        <w:numPr>
          <w:ilvl w:val="2"/>
          <w:numId w:val="1"/>
        </w:numPr>
        <w:shd w:val="clear" w:color="auto" w:fill="FFFFFF" w:themeFill="background1"/>
        <w:rPr>
          <w:sz w:val="20"/>
          <w:szCs w:val="20"/>
        </w:rPr>
      </w:pPr>
      <w:proofErr w:type="spellStart"/>
      <w:r>
        <w:rPr>
          <w:sz w:val="20"/>
          <w:szCs w:val="20"/>
        </w:rPr>
        <w:t>Zemach</w:t>
      </w:r>
      <w:proofErr w:type="spellEnd"/>
      <w:r w:rsidR="00795F2A">
        <w:rPr>
          <w:sz w:val="20"/>
          <w:szCs w:val="20"/>
        </w:rPr>
        <w:t xml:space="preserve">. “Divinities,” </w:t>
      </w:r>
      <w:proofErr w:type="spellStart"/>
      <w:r w:rsidR="00795F2A">
        <w:rPr>
          <w:i/>
          <w:iCs/>
          <w:sz w:val="20"/>
          <w:szCs w:val="20"/>
        </w:rPr>
        <w:t>Iyyun</w:t>
      </w:r>
      <w:proofErr w:type="spellEnd"/>
      <w:r w:rsidR="00795F2A">
        <w:rPr>
          <w:sz w:val="20"/>
          <w:szCs w:val="20"/>
        </w:rPr>
        <w:t xml:space="preserve"> 2003</w:t>
      </w:r>
      <w:r w:rsidR="00754CAB">
        <w:rPr>
          <w:sz w:val="20"/>
          <w:szCs w:val="20"/>
        </w:rPr>
        <w:t xml:space="preserve">. </w:t>
      </w:r>
    </w:p>
    <w:p w:rsidR="00754CAB" w:rsidRPr="00754CAB" w:rsidRDefault="00754CAB" w:rsidP="00754CAB">
      <w:pPr>
        <w:pStyle w:val="ListParagraph"/>
        <w:numPr>
          <w:ilvl w:val="2"/>
          <w:numId w:val="1"/>
        </w:numPr>
        <w:shd w:val="clear" w:color="auto" w:fill="FFFFFF" w:themeFill="background1"/>
        <w:rPr>
          <w:sz w:val="20"/>
          <w:szCs w:val="20"/>
        </w:rPr>
      </w:pPr>
      <w:r w:rsidRPr="00754CAB">
        <w:rPr>
          <w:sz w:val="20"/>
          <w:szCs w:val="20"/>
        </w:rPr>
        <w:t xml:space="preserve">Nagel, Thomas. “The Core of ‘Mind and Cosmos.’” </w:t>
      </w:r>
      <w:r w:rsidRPr="00754CAB">
        <w:rPr>
          <w:i/>
          <w:iCs/>
          <w:sz w:val="20"/>
          <w:szCs w:val="20"/>
        </w:rPr>
        <w:t>New York Times</w:t>
      </w:r>
      <w:r>
        <w:rPr>
          <w:sz w:val="20"/>
          <w:szCs w:val="20"/>
        </w:rPr>
        <w:t xml:space="preserve">, </w:t>
      </w:r>
      <w:r w:rsidRPr="00754CAB">
        <w:rPr>
          <w:sz w:val="20"/>
          <w:szCs w:val="20"/>
        </w:rPr>
        <w:t xml:space="preserve">December 7, 2013. </w:t>
      </w:r>
    </w:p>
    <w:p w:rsidR="005138CC" w:rsidRPr="00657A28" w:rsidRDefault="00192091" w:rsidP="00657A28">
      <w:pPr>
        <w:pStyle w:val="ListParagraph"/>
        <w:numPr>
          <w:ilvl w:val="0"/>
          <w:numId w:val="1"/>
        </w:numPr>
        <w:shd w:val="clear" w:color="auto" w:fill="DEEAF6" w:themeFill="accent1" w:themeFillTint="33"/>
        <w:rPr>
          <w:sz w:val="24"/>
          <w:szCs w:val="24"/>
        </w:rPr>
      </w:pPr>
      <w:r>
        <w:rPr>
          <w:sz w:val="24"/>
          <w:szCs w:val="24"/>
        </w:rPr>
        <w:t>Review</w:t>
      </w:r>
      <w:r w:rsidR="005138CC">
        <w:rPr>
          <w:sz w:val="24"/>
          <w:szCs w:val="24"/>
        </w:rPr>
        <w:t xml:space="preserve"> </w:t>
      </w:r>
      <w:r w:rsidR="005138CC" w:rsidRPr="005138CC">
        <w:rPr>
          <w:sz w:val="24"/>
          <w:szCs w:val="24"/>
        </w:rPr>
        <w:t>&amp; General Discussion</w:t>
      </w:r>
    </w:p>
    <w:sectPr w:rsidR="005138CC" w:rsidRPr="0065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Narkisim">
    <w:charset w:val="B1"/>
    <w:family w:val="swiss"/>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F44E1"/>
    <w:multiLevelType w:val="hybridMultilevel"/>
    <w:tmpl w:val="CE9E246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C5D43"/>
    <w:multiLevelType w:val="hybridMultilevel"/>
    <w:tmpl w:val="506C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931CD"/>
    <w:multiLevelType w:val="hybridMultilevel"/>
    <w:tmpl w:val="9DD8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A3A0F"/>
    <w:multiLevelType w:val="hybridMultilevel"/>
    <w:tmpl w:val="2F74D7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17"/>
    <w:rsid w:val="0001237E"/>
    <w:rsid w:val="00024442"/>
    <w:rsid w:val="00157115"/>
    <w:rsid w:val="00170F96"/>
    <w:rsid w:val="00192091"/>
    <w:rsid w:val="001945AB"/>
    <w:rsid w:val="001C3A65"/>
    <w:rsid w:val="001F6F84"/>
    <w:rsid w:val="00241A9C"/>
    <w:rsid w:val="003027A0"/>
    <w:rsid w:val="003405BE"/>
    <w:rsid w:val="003572A4"/>
    <w:rsid w:val="003A42AD"/>
    <w:rsid w:val="003B01EB"/>
    <w:rsid w:val="003B500A"/>
    <w:rsid w:val="004A2386"/>
    <w:rsid w:val="005138CC"/>
    <w:rsid w:val="005804EB"/>
    <w:rsid w:val="005A6082"/>
    <w:rsid w:val="005E5EAC"/>
    <w:rsid w:val="00612CD0"/>
    <w:rsid w:val="006320F9"/>
    <w:rsid w:val="00632B1D"/>
    <w:rsid w:val="00657A28"/>
    <w:rsid w:val="0066115F"/>
    <w:rsid w:val="006B6EB4"/>
    <w:rsid w:val="006F30FB"/>
    <w:rsid w:val="00704F9B"/>
    <w:rsid w:val="00737978"/>
    <w:rsid w:val="00754CAB"/>
    <w:rsid w:val="00795F2A"/>
    <w:rsid w:val="008163FC"/>
    <w:rsid w:val="00827CF6"/>
    <w:rsid w:val="0087425B"/>
    <w:rsid w:val="008D4795"/>
    <w:rsid w:val="009113BE"/>
    <w:rsid w:val="00964961"/>
    <w:rsid w:val="00976617"/>
    <w:rsid w:val="009A104B"/>
    <w:rsid w:val="009A7F77"/>
    <w:rsid w:val="00A44AE9"/>
    <w:rsid w:val="00A65626"/>
    <w:rsid w:val="00A97C3C"/>
    <w:rsid w:val="00B95FD0"/>
    <w:rsid w:val="00C41C92"/>
    <w:rsid w:val="00C57B1E"/>
    <w:rsid w:val="00C84139"/>
    <w:rsid w:val="00CB76F2"/>
    <w:rsid w:val="00CE6B8D"/>
    <w:rsid w:val="00DB033F"/>
    <w:rsid w:val="00DF2131"/>
    <w:rsid w:val="00DF3276"/>
    <w:rsid w:val="00E413DD"/>
    <w:rsid w:val="00E50642"/>
    <w:rsid w:val="00ED35FA"/>
    <w:rsid w:val="00F32951"/>
    <w:rsid w:val="00F516C3"/>
    <w:rsid w:val="00FA18B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Narkisim"/>
        <w:sz w:val="22"/>
        <w:szCs w:val="22"/>
        <w:lang w:val="en-US" w:eastAsia="zh-TW" w:bidi="he-IL"/>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617"/>
    <w:pPr>
      <w:ind w:left="720"/>
      <w:contextualSpacing/>
    </w:pPr>
  </w:style>
  <w:style w:type="character" w:styleId="Hyperlink">
    <w:name w:val="Hyperlink"/>
    <w:basedOn w:val="DefaultParagraphFont"/>
    <w:uiPriority w:val="99"/>
    <w:unhideWhenUsed/>
    <w:rsid w:val="008163F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Narkisim"/>
        <w:sz w:val="22"/>
        <w:szCs w:val="22"/>
        <w:lang w:val="en-US" w:eastAsia="zh-TW" w:bidi="he-IL"/>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617"/>
    <w:pPr>
      <w:ind w:left="720"/>
      <w:contextualSpacing/>
    </w:pPr>
  </w:style>
  <w:style w:type="character" w:styleId="Hyperlink">
    <w:name w:val="Hyperlink"/>
    <w:basedOn w:val="DefaultParagraphFont"/>
    <w:uiPriority w:val="99"/>
    <w:unhideWhenUsed/>
    <w:rsid w:val="0081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2314">
      <w:bodyDiv w:val="1"/>
      <w:marLeft w:val="0"/>
      <w:marRight w:val="0"/>
      <w:marTop w:val="0"/>
      <w:marBottom w:val="0"/>
      <w:divBdr>
        <w:top w:val="none" w:sz="0" w:space="0" w:color="auto"/>
        <w:left w:val="none" w:sz="0" w:space="0" w:color="auto"/>
        <w:bottom w:val="none" w:sz="0" w:space="0" w:color="auto"/>
        <w:right w:val="none" w:sz="0" w:space="0" w:color="auto"/>
      </w:divBdr>
      <w:divsChild>
        <w:div w:id="1285187124">
          <w:marLeft w:val="0"/>
          <w:marRight w:val="0"/>
          <w:marTop w:val="0"/>
          <w:marBottom w:val="0"/>
          <w:divBdr>
            <w:top w:val="none" w:sz="0" w:space="0" w:color="auto"/>
            <w:left w:val="none" w:sz="0" w:space="0" w:color="auto"/>
            <w:bottom w:val="none" w:sz="0" w:space="0" w:color="auto"/>
            <w:right w:val="none" w:sz="0" w:space="0" w:color="auto"/>
          </w:divBdr>
          <w:divsChild>
            <w:div w:id="217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128">
      <w:bodyDiv w:val="1"/>
      <w:marLeft w:val="0"/>
      <w:marRight w:val="0"/>
      <w:marTop w:val="0"/>
      <w:marBottom w:val="0"/>
      <w:divBdr>
        <w:top w:val="none" w:sz="0" w:space="0" w:color="auto"/>
        <w:left w:val="none" w:sz="0" w:space="0" w:color="auto"/>
        <w:bottom w:val="none" w:sz="0" w:space="0" w:color="auto"/>
        <w:right w:val="none" w:sz="0" w:space="0" w:color="auto"/>
      </w:divBdr>
      <w:divsChild>
        <w:div w:id="759987176">
          <w:marLeft w:val="0"/>
          <w:marRight w:val="0"/>
          <w:marTop w:val="0"/>
          <w:marBottom w:val="0"/>
          <w:divBdr>
            <w:top w:val="none" w:sz="0" w:space="0" w:color="auto"/>
            <w:left w:val="none" w:sz="0" w:space="0" w:color="auto"/>
            <w:bottom w:val="none" w:sz="0" w:space="0" w:color="auto"/>
            <w:right w:val="none" w:sz="0" w:space="0" w:color="auto"/>
          </w:divBdr>
          <w:divsChild>
            <w:div w:id="5005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918">
      <w:bodyDiv w:val="1"/>
      <w:marLeft w:val="0"/>
      <w:marRight w:val="0"/>
      <w:marTop w:val="0"/>
      <w:marBottom w:val="0"/>
      <w:divBdr>
        <w:top w:val="none" w:sz="0" w:space="0" w:color="auto"/>
        <w:left w:val="none" w:sz="0" w:space="0" w:color="auto"/>
        <w:bottom w:val="none" w:sz="0" w:space="0" w:color="auto"/>
        <w:right w:val="none" w:sz="0" w:space="0" w:color="auto"/>
      </w:divBdr>
      <w:divsChild>
        <w:div w:id="285239661">
          <w:marLeft w:val="0"/>
          <w:marRight w:val="0"/>
          <w:marTop w:val="0"/>
          <w:marBottom w:val="0"/>
          <w:divBdr>
            <w:top w:val="none" w:sz="0" w:space="0" w:color="auto"/>
            <w:left w:val="none" w:sz="0" w:space="0" w:color="auto"/>
            <w:bottom w:val="none" w:sz="0" w:space="0" w:color="auto"/>
            <w:right w:val="none" w:sz="0" w:space="0" w:color="auto"/>
          </w:divBdr>
          <w:divsChild>
            <w:div w:id="18939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4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165">
          <w:marLeft w:val="0"/>
          <w:marRight w:val="0"/>
          <w:marTop w:val="0"/>
          <w:marBottom w:val="0"/>
          <w:divBdr>
            <w:top w:val="none" w:sz="0" w:space="0" w:color="auto"/>
            <w:left w:val="none" w:sz="0" w:space="0" w:color="auto"/>
            <w:bottom w:val="none" w:sz="0" w:space="0" w:color="auto"/>
            <w:right w:val="none" w:sz="0" w:space="0" w:color="auto"/>
          </w:divBdr>
          <w:divsChild>
            <w:div w:id="18795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922">
      <w:bodyDiv w:val="1"/>
      <w:marLeft w:val="0"/>
      <w:marRight w:val="0"/>
      <w:marTop w:val="0"/>
      <w:marBottom w:val="0"/>
      <w:divBdr>
        <w:top w:val="none" w:sz="0" w:space="0" w:color="auto"/>
        <w:left w:val="none" w:sz="0" w:space="0" w:color="auto"/>
        <w:bottom w:val="none" w:sz="0" w:space="0" w:color="auto"/>
        <w:right w:val="none" w:sz="0" w:space="0" w:color="auto"/>
      </w:divBdr>
      <w:divsChild>
        <w:div w:id="1275134607">
          <w:marLeft w:val="0"/>
          <w:marRight w:val="0"/>
          <w:marTop w:val="0"/>
          <w:marBottom w:val="0"/>
          <w:divBdr>
            <w:top w:val="none" w:sz="0" w:space="0" w:color="auto"/>
            <w:left w:val="none" w:sz="0" w:space="0" w:color="auto"/>
            <w:bottom w:val="none" w:sz="0" w:space="0" w:color="auto"/>
            <w:right w:val="none" w:sz="0" w:space="0" w:color="auto"/>
          </w:divBdr>
          <w:divsChild>
            <w:div w:id="52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299">
      <w:bodyDiv w:val="1"/>
      <w:marLeft w:val="0"/>
      <w:marRight w:val="0"/>
      <w:marTop w:val="0"/>
      <w:marBottom w:val="0"/>
      <w:divBdr>
        <w:top w:val="none" w:sz="0" w:space="0" w:color="auto"/>
        <w:left w:val="none" w:sz="0" w:space="0" w:color="auto"/>
        <w:bottom w:val="none" w:sz="0" w:space="0" w:color="auto"/>
        <w:right w:val="none" w:sz="0" w:space="0" w:color="auto"/>
      </w:divBdr>
      <w:divsChild>
        <w:div w:id="1876693832">
          <w:marLeft w:val="0"/>
          <w:marRight w:val="0"/>
          <w:marTop w:val="0"/>
          <w:marBottom w:val="0"/>
          <w:divBdr>
            <w:top w:val="none" w:sz="0" w:space="0" w:color="auto"/>
            <w:left w:val="none" w:sz="0" w:space="0" w:color="auto"/>
            <w:bottom w:val="none" w:sz="0" w:space="0" w:color="auto"/>
            <w:right w:val="none" w:sz="0" w:space="0" w:color="auto"/>
          </w:divBdr>
          <w:divsChild>
            <w:div w:id="2800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6247">
      <w:bodyDiv w:val="1"/>
      <w:marLeft w:val="0"/>
      <w:marRight w:val="0"/>
      <w:marTop w:val="0"/>
      <w:marBottom w:val="0"/>
      <w:divBdr>
        <w:top w:val="none" w:sz="0" w:space="0" w:color="auto"/>
        <w:left w:val="none" w:sz="0" w:space="0" w:color="auto"/>
        <w:bottom w:val="none" w:sz="0" w:space="0" w:color="auto"/>
        <w:right w:val="none" w:sz="0" w:space="0" w:color="auto"/>
      </w:divBdr>
    </w:div>
    <w:div w:id="856770259">
      <w:bodyDiv w:val="1"/>
      <w:marLeft w:val="0"/>
      <w:marRight w:val="0"/>
      <w:marTop w:val="0"/>
      <w:marBottom w:val="0"/>
      <w:divBdr>
        <w:top w:val="none" w:sz="0" w:space="0" w:color="auto"/>
        <w:left w:val="none" w:sz="0" w:space="0" w:color="auto"/>
        <w:bottom w:val="none" w:sz="0" w:space="0" w:color="auto"/>
        <w:right w:val="none" w:sz="0" w:space="0" w:color="auto"/>
      </w:divBdr>
      <w:divsChild>
        <w:div w:id="13728958">
          <w:marLeft w:val="0"/>
          <w:marRight w:val="0"/>
          <w:marTop w:val="0"/>
          <w:marBottom w:val="0"/>
          <w:divBdr>
            <w:top w:val="none" w:sz="0" w:space="0" w:color="auto"/>
            <w:left w:val="none" w:sz="0" w:space="0" w:color="auto"/>
            <w:bottom w:val="none" w:sz="0" w:space="0" w:color="auto"/>
            <w:right w:val="none" w:sz="0" w:space="0" w:color="auto"/>
          </w:divBdr>
          <w:divsChild>
            <w:div w:id="188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004">
      <w:bodyDiv w:val="1"/>
      <w:marLeft w:val="0"/>
      <w:marRight w:val="0"/>
      <w:marTop w:val="0"/>
      <w:marBottom w:val="0"/>
      <w:divBdr>
        <w:top w:val="none" w:sz="0" w:space="0" w:color="auto"/>
        <w:left w:val="none" w:sz="0" w:space="0" w:color="auto"/>
        <w:bottom w:val="none" w:sz="0" w:space="0" w:color="auto"/>
        <w:right w:val="none" w:sz="0" w:space="0" w:color="auto"/>
      </w:divBdr>
      <w:divsChild>
        <w:div w:id="757949211">
          <w:marLeft w:val="0"/>
          <w:marRight w:val="0"/>
          <w:marTop w:val="0"/>
          <w:marBottom w:val="0"/>
          <w:divBdr>
            <w:top w:val="none" w:sz="0" w:space="0" w:color="auto"/>
            <w:left w:val="none" w:sz="0" w:space="0" w:color="auto"/>
            <w:bottom w:val="none" w:sz="0" w:space="0" w:color="auto"/>
            <w:right w:val="none" w:sz="0" w:space="0" w:color="auto"/>
          </w:divBdr>
          <w:divsChild>
            <w:div w:id="621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5238">
      <w:bodyDiv w:val="1"/>
      <w:marLeft w:val="0"/>
      <w:marRight w:val="0"/>
      <w:marTop w:val="0"/>
      <w:marBottom w:val="0"/>
      <w:divBdr>
        <w:top w:val="none" w:sz="0" w:space="0" w:color="auto"/>
        <w:left w:val="none" w:sz="0" w:space="0" w:color="auto"/>
        <w:bottom w:val="none" w:sz="0" w:space="0" w:color="auto"/>
        <w:right w:val="none" w:sz="0" w:space="0" w:color="auto"/>
      </w:divBdr>
      <w:divsChild>
        <w:div w:id="1487896560">
          <w:marLeft w:val="0"/>
          <w:marRight w:val="0"/>
          <w:marTop w:val="0"/>
          <w:marBottom w:val="0"/>
          <w:divBdr>
            <w:top w:val="none" w:sz="0" w:space="0" w:color="auto"/>
            <w:left w:val="none" w:sz="0" w:space="0" w:color="auto"/>
            <w:bottom w:val="none" w:sz="0" w:space="0" w:color="auto"/>
            <w:right w:val="none" w:sz="0" w:space="0" w:color="auto"/>
          </w:divBdr>
          <w:divsChild>
            <w:div w:id="15333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038">
      <w:bodyDiv w:val="1"/>
      <w:marLeft w:val="0"/>
      <w:marRight w:val="0"/>
      <w:marTop w:val="0"/>
      <w:marBottom w:val="0"/>
      <w:divBdr>
        <w:top w:val="none" w:sz="0" w:space="0" w:color="auto"/>
        <w:left w:val="none" w:sz="0" w:space="0" w:color="auto"/>
        <w:bottom w:val="none" w:sz="0" w:space="0" w:color="auto"/>
        <w:right w:val="none" w:sz="0" w:space="0" w:color="auto"/>
      </w:divBdr>
      <w:divsChild>
        <w:div w:id="1005132040">
          <w:marLeft w:val="0"/>
          <w:marRight w:val="0"/>
          <w:marTop w:val="0"/>
          <w:marBottom w:val="0"/>
          <w:divBdr>
            <w:top w:val="none" w:sz="0" w:space="0" w:color="auto"/>
            <w:left w:val="none" w:sz="0" w:space="0" w:color="auto"/>
            <w:bottom w:val="none" w:sz="0" w:space="0" w:color="auto"/>
            <w:right w:val="none" w:sz="0" w:space="0" w:color="auto"/>
          </w:divBdr>
          <w:divsChild>
            <w:div w:id="2050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5173">
      <w:bodyDiv w:val="1"/>
      <w:marLeft w:val="0"/>
      <w:marRight w:val="0"/>
      <w:marTop w:val="0"/>
      <w:marBottom w:val="0"/>
      <w:divBdr>
        <w:top w:val="none" w:sz="0" w:space="0" w:color="auto"/>
        <w:left w:val="none" w:sz="0" w:space="0" w:color="auto"/>
        <w:bottom w:val="none" w:sz="0" w:space="0" w:color="auto"/>
        <w:right w:val="none" w:sz="0" w:space="0" w:color="auto"/>
      </w:divBdr>
      <w:divsChild>
        <w:div w:id="337275487">
          <w:marLeft w:val="0"/>
          <w:marRight w:val="0"/>
          <w:marTop w:val="0"/>
          <w:marBottom w:val="0"/>
          <w:divBdr>
            <w:top w:val="none" w:sz="0" w:space="0" w:color="auto"/>
            <w:left w:val="none" w:sz="0" w:space="0" w:color="auto"/>
            <w:bottom w:val="none" w:sz="0" w:space="0" w:color="auto"/>
            <w:right w:val="none" w:sz="0" w:space="0" w:color="auto"/>
          </w:divBdr>
          <w:divsChild>
            <w:div w:id="16602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5576">
      <w:bodyDiv w:val="1"/>
      <w:marLeft w:val="0"/>
      <w:marRight w:val="0"/>
      <w:marTop w:val="0"/>
      <w:marBottom w:val="0"/>
      <w:divBdr>
        <w:top w:val="none" w:sz="0" w:space="0" w:color="auto"/>
        <w:left w:val="none" w:sz="0" w:space="0" w:color="auto"/>
        <w:bottom w:val="none" w:sz="0" w:space="0" w:color="auto"/>
        <w:right w:val="none" w:sz="0" w:space="0" w:color="auto"/>
      </w:divBdr>
      <w:divsChild>
        <w:div w:id="726101722">
          <w:marLeft w:val="0"/>
          <w:marRight w:val="0"/>
          <w:marTop w:val="0"/>
          <w:marBottom w:val="0"/>
          <w:divBdr>
            <w:top w:val="none" w:sz="0" w:space="0" w:color="auto"/>
            <w:left w:val="none" w:sz="0" w:space="0" w:color="auto"/>
            <w:bottom w:val="none" w:sz="0" w:space="0" w:color="auto"/>
            <w:right w:val="none" w:sz="0" w:space="0" w:color="auto"/>
          </w:divBdr>
          <w:divsChild>
            <w:div w:id="14587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9438">
      <w:bodyDiv w:val="1"/>
      <w:marLeft w:val="0"/>
      <w:marRight w:val="0"/>
      <w:marTop w:val="0"/>
      <w:marBottom w:val="0"/>
      <w:divBdr>
        <w:top w:val="none" w:sz="0" w:space="0" w:color="auto"/>
        <w:left w:val="none" w:sz="0" w:space="0" w:color="auto"/>
        <w:bottom w:val="none" w:sz="0" w:space="0" w:color="auto"/>
        <w:right w:val="none" w:sz="0" w:space="0" w:color="auto"/>
      </w:divBdr>
      <w:divsChild>
        <w:div w:id="683822525">
          <w:marLeft w:val="0"/>
          <w:marRight w:val="0"/>
          <w:marTop w:val="0"/>
          <w:marBottom w:val="0"/>
          <w:divBdr>
            <w:top w:val="none" w:sz="0" w:space="0" w:color="auto"/>
            <w:left w:val="none" w:sz="0" w:space="0" w:color="auto"/>
            <w:bottom w:val="none" w:sz="0" w:space="0" w:color="auto"/>
            <w:right w:val="none" w:sz="0" w:space="0" w:color="auto"/>
          </w:divBdr>
          <w:divsChild>
            <w:div w:id="1554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8514">
      <w:bodyDiv w:val="1"/>
      <w:marLeft w:val="0"/>
      <w:marRight w:val="0"/>
      <w:marTop w:val="0"/>
      <w:marBottom w:val="0"/>
      <w:divBdr>
        <w:top w:val="none" w:sz="0" w:space="0" w:color="auto"/>
        <w:left w:val="none" w:sz="0" w:space="0" w:color="auto"/>
        <w:bottom w:val="none" w:sz="0" w:space="0" w:color="auto"/>
        <w:right w:val="none" w:sz="0" w:space="0" w:color="auto"/>
      </w:divBdr>
      <w:divsChild>
        <w:div w:id="567570022">
          <w:marLeft w:val="0"/>
          <w:marRight w:val="0"/>
          <w:marTop w:val="0"/>
          <w:marBottom w:val="0"/>
          <w:divBdr>
            <w:top w:val="none" w:sz="0" w:space="0" w:color="auto"/>
            <w:left w:val="none" w:sz="0" w:space="0" w:color="auto"/>
            <w:bottom w:val="none" w:sz="0" w:space="0" w:color="auto"/>
            <w:right w:val="none" w:sz="0" w:space="0" w:color="auto"/>
          </w:divBdr>
          <w:divsChild>
            <w:div w:id="22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867">
      <w:bodyDiv w:val="1"/>
      <w:marLeft w:val="0"/>
      <w:marRight w:val="0"/>
      <w:marTop w:val="0"/>
      <w:marBottom w:val="0"/>
      <w:divBdr>
        <w:top w:val="none" w:sz="0" w:space="0" w:color="auto"/>
        <w:left w:val="none" w:sz="0" w:space="0" w:color="auto"/>
        <w:bottom w:val="none" w:sz="0" w:space="0" w:color="auto"/>
        <w:right w:val="none" w:sz="0" w:space="0" w:color="auto"/>
      </w:divBdr>
      <w:divsChild>
        <w:div w:id="1236281263">
          <w:marLeft w:val="0"/>
          <w:marRight w:val="0"/>
          <w:marTop w:val="0"/>
          <w:marBottom w:val="0"/>
          <w:divBdr>
            <w:top w:val="none" w:sz="0" w:space="0" w:color="auto"/>
            <w:left w:val="none" w:sz="0" w:space="0" w:color="auto"/>
            <w:bottom w:val="none" w:sz="0" w:space="0" w:color="auto"/>
            <w:right w:val="none" w:sz="0" w:space="0" w:color="auto"/>
          </w:divBdr>
          <w:divsChild>
            <w:div w:id="6639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1098">
      <w:bodyDiv w:val="1"/>
      <w:marLeft w:val="0"/>
      <w:marRight w:val="0"/>
      <w:marTop w:val="0"/>
      <w:marBottom w:val="0"/>
      <w:divBdr>
        <w:top w:val="none" w:sz="0" w:space="0" w:color="auto"/>
        <w:left w:val="none" w:sz="0" w:space="0" w:color="auto"/>
        <w:bottom w:val="none" w:sz="0" w:space="0" w:color="auto"/>
        <w:right w:val="none" w:sz="0" w:space="0" w:color="auto"/>
      </w:divBdr>
      <w:divsChild>
        <w:div w:id="761032881">
          <w:marLeft w:val="0"/>
          <w:marRight w:val="0"/>
          <w:marTop w:val="0"/>
          <w:marBottom w:val="0"/>
          <w:divBdr>
            <w:top w:val="none" w:sz="0" w:space="0" w:color="auto"/>
            <w:left w:val="none" w:sz="0" w:space="0" w:color="auto"/>
            <w:bottom w:val="none" w:sz="0" w:space="0" w:color="auto"/>
            <w:right w:val="none" w:sz="0" w:space="0" w:color="auto"/>
          </w:divBdr>
          <w:divsChild>
            <w:div w:id="2483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8945">
      <w:bodyDiv w:val="1"/>
      <w:marLeft w:val="0"/>
      <w:marRight w:val="0"/>
      <w:marTop w:val="0"/>
      <w:marBottom w:val="0"/>
      <w:divBdr>
        <w:top w:val="none" w:sz="0" w:space="0" w:color="auto"/>
        <w:left w:val="none" w:sz="0" w:space="0" w:color="auto"/>
        <w:bottom w:val="none" w:sz="0" w:space="0" w:color="auto"/>
        <w:right w:val="none" w:sz="0" w:space="0" w:color="auto"/>
      </w:divBdr>
      <w:divsChild>
        <w:div w:id="44185263">
          <w:marLeft w:val="0"/>
          <w:marRight w:val="0"/>
          <w:marTop w:val="0"/>
          <w:marBottom w:val="0"/>
          <w:divBdr>
            <w:top w:val="none" w:sz="0" w:space="0" w:color="auto"/>
            <w:left w:val="none" w:sz="0" w:space="0" w:color="auto"/>
            <w:bottom w:val="none" w:sz="0" w:space="0" w:color="auto"/>
            <w:right w:val="none" w:sz="0" w:space="0" w:color="auto"/>
          </w:divBdr>
          <w:divsChild>
            <w:div w:id="773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284">
      <w:bodyDiv w:val="1"/>
      <w:marLeft w:val="0"/>
      <w:marRight w:val="0"/>
      <w:marTop w:val="0"/>
      <w:marBottom w:val="0"/>
      <w:divBdr>
        <w:top w:val="none" w:sz="0" w:space="0" w:color="auto"/>
        <w:left w:val="none" w:sz="0" w:space="0" w:color="auto"/>
        <w:bottom w:val="none" w:sz="0" w:space="0" w:color="auto"/>
        <w:right w:val="none" w:sz="0" w:space="0" w:color="auto"/>
      </w:divBdr>
      <w:divsChild>
        <w:div w:id="740640329">
          <w:marLeft w:val="0"/>
          <w:marRight w:val="0"/>
          <w:marTop w:val="0"/>
          <w:marBottom w:val="0"/>
          <w:divBdr>
            <w:top w:val="none" w:sz="0" w:space="0" w:color="auto"/>
            <w:left w:val="none" w:sz="0" w:space="0" w:color="auto"/>
            <w:bottom w:val="none" w:sz="0" w:space="0" w:color="auto"/>
            <w:right w:val="none" w:sz="0" w:space="0" w:color="auto"/>
          </w:divBdr>
          <w:divsChild>
            <w:div w:id="5575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5618">
      <w:bodyDiv w:val="1"/>
      <w:marLeft w:val="0"/>
      <w:marRight w:val="0"/>
      <w:marTop w:val="0"/>
      <w:marBottom w:val="0"/>
      <w:divBdr>
        <w:top w:val="none" w:sz="0" w:space="0" w:color="auto"/>
        <w:left w:val="none" w:sz="0" w:space="0" w:color="auto"/>
        <w:bottom w:val="none" w:sz="0" w:space="0" w:color="auto"/>
        <w:right w:val="none" w:sz="0" w:space="0" w:color="auto"/>
      </w:divBdr>
      <w:divsChild>
        <w:div w:id="294411324">
          <w:marLeft w:val="0"/>
          <w:marRight w:val="0"/>
          <w:marTop w:val="0"/>
          <w:marBottom w:val="0"/>
          <w:divBdr>
            <w:top w:val="none" w:sz="0" w:space="0" w:color="auto"/>
            <w:left w:val="none" w:sz="0" w:space="0" w:color="auto"/>
            <w:bottom w:val="none" w:sz="0" w:space="0" w:color="auto"/>
            <w:right w:val="none" w:sz="0" w:space="0" w:color="auto"/>
          </w:divBdr>
          <w:divsChild>
            <w:div w:id="15079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2363">
      <w:bodyDiv w:val="1"/>
      <w:marLeft w:val="0"/>
      <w:marRight w:val="0"/>
      <w:marTop w:val="0"/>
      <w:marBottom w:val="0"/>
      <w:divBdr>
        <w:top w:val="none" w:sz="0" w:space="0" w:color="auto"/>
        <w:left w:val="none" w:sz="0" w:space="0" w:color="auto"/>
        <w:bottom w:val="none" w:sz="0" w:space="0" w:color="auto"/>
        <w:right w:val="none" w:sz="0" w:space="0" w:color="auto"/>
      </w:divBdr>
      <w:divsChild>
        <w:div w:id="220797450">
          <w:marLeft w:val="0"/>
          <w:marRight w:val="0"/>
          <w:marTop w:val="0"/>
          <w:marBottom w:val="0"/>
          <w:divBdr>
            <w:top w:val="none" w:sz="0" w:space="0" w:color="auto"/>
            <w:left w:val="none" w:sz="0" w:space="0" w:color="auto"/>
            <w:bottom w:val="none" w:sz="0" w:space="0" w:color="auto"/>
            <w:right w:val="none" w:sz="0" w:space="0" w:color="auto"/>
          </w:divBdr>
          <w:divsChild>
            <w:div w:id="15644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lato.stanford.edu/archives/sum2013/entries/plotinus/" TargetMode="External"/><Relationship Id="rId7" Type="http://schemas.openxmlformats.org/officeDocument/2006/relationships/hyperlink" Target="http://plato.stanford.edu/entries/logical-empiricis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1270</Words>
  <Characters>7241</Characters>
  <Application>Microsoft Macintosh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Ehud Benor</dc:creator>
  <cp:keywords/>
  <dc:description/>
  <cp:lastModifiedBy>Marcia  Welsh</cp:lastModifiedBy>
  <cp:revision>2</cp:revision>
  <dcterms:created xsi:type="dcterms:W3CDTF">2014-07-17T19:07:00Z</dcterms:created>
  <dcterms:modified xsi:type="dcterms:W3CDTF">2014-07-17T19:07:00Z</dcterms:modified>
</cp:coreProperties>
</file>