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before="0" w:line="324" w:lineRule="auto"/>
      </w:pPr>
    </w:p>
    <w:p>
      <w:pPr>
        <w:spacing w:after="40" w:before="0" w:line="324" w:lineRule="auto"/>
        <w:jc w:val="center"/>
      </w:pPr>
      <w:r>
        <w:rPr>
          <w:rFonts w:ascii="Times New Roman" w:hAnsi="Times New Roman" w:eastAsia="SimSun"/>
          <w:b/>
          <w:i w:val="0"/>
          <w:color w:val="1F3864"/>
          <w:sz w:val="24"/>
        </w:rPr>
        <w:t>UNIVERSITY OF MACAU</w:t>
      </w:r>
    </w:p>
    <w:p>
      <w:pPr>
        <w:spacing w:after="800" w:before="0" w:line="324" w:lineRule="auto"/>
        <w:jc w:val="center"/>
      </w:pPr>
      <w:r>
        <w:rPr>
          <w:rFonts w:ascii="Times New Roman" w:hAnsi="Times New Roman" w:eastAsia="SimSun"/>
          <w:b w:val="0"/>
          <w:i w:val="0"/>
          <w:color w:val="555555"/>
          <w:sz w:val="22"/>
        </w:rPr>
        <w:t>Faculty of Science and Technology</w:t>
      </w:r>
    </w:p>
    <w:p>
      <w:pPr>
        <w:spacing w:after="120" w:before="0" w:line="324" w:lineRule="auto"/>
        <w:jc w:val="center"/>
      </w:pPr>
      <w:r>
        <w:rPr>
          <w:rFonts w:ascii="Times New Roman" w:hAnsi="Times New Roman" w:eastAsia="SimSun"/>
          <w:b/>
          <w:i w:val="0"/>
          <w:sz w:val="30"/>
        </w:rPr>
        <w:t>CISC7204  Data Science and Data Visualization</w:t>
      </w:r>
    </w:p>
    <w:p>
      <w:pPr>
        <w:spacing w:after="1200" w:before="0" w:line="324" w:lineRule="auto"/>
        <w:jc w:val="center"/>
      </w:pPr>
      <w:r>
        <w:rPr>
          <w:rFonts w:ascii="Times New Roman" w:hAnsi="Times New Roman" w:eastAsia="SimSun"/>
          <w:b w:val="0"/>
          <w:i w:val="0"/>
          <w:sz w:val="26"/>
        </w:rPr>
        <w:t>Assignment 02  ·  Revised Project Proposal (Pair Work)</w:t>
      </w:r>
    </w:p>
    <w:p>
      <w:pPr>
        <w:spacing w:after="40" w:before="0" w:line="324" w:lineRule="auto"/>
        <w:jc w:val="center"/>
      </w:pPr>
      <w:r>
        <w:rPr>
          <w:rFonts w:ascii="Times New Roman" w:hAnsi="Times New Roman" w:eastAsia="SimSun"/>
          <w:b/>
          <w:i w:val="0"/>
          <w:color w:val="1F3864"/>
          <w:sz w:val="36"/>
        </w:rPr>
        <w:t>Post-Pandemic Recovery of Macau’s Visitor Economy:</w:t>
      </w:r>
    </w:p>
    <w:p>
      <w:pPr>
        <w:spacing w:after="1400" w:before="0" w:line="324" w:lineRule="auto"/>
        <w:jc w:val="center"/>
      </w:pPr>
      <w:r>
        <w:rPr>
          <w:rFonts w:ascii="Times New Roman" w:hAnsi="Times New Roman" w:eastAsia="SimSun"/>
          <w:b/>
          <w:i w:val="0"/>
          <w:color w:val="1F3864"/>
          <w:sz w:val="36"/>
        </w:rPr>
        <w:t>How Fast, and How Uneven?</w:t>
      </w:r>
    </w:p>
    <w:tbl>
      <w:tblPr>
        <w:tblW w:type="auto" w:w="0"/>
        <w:jc w:val="center"/>
        <w:tblLayout w:type="autofit"/>
        <w:tblLook w:firstColumn="1" w:firstRow="1" w:lastColumn="0" w:lastRow="0" w:noHBand="0" w:noVBand="1" w:val="04A0"/>
      </w:tblPr>
      <w:tblGrid>
        <w:gridCol w:w="4592"/>
        <w:gridCol w:w="4592"/>
      </w:tblGrid>
      <w:tr>
        <w:trPr>
          <w:cantSplit/>
          <w:tblHeader/>
        </w:trPr>
        <w:tc>
          <w:tcPr>
            <w:tcW w:type="dxa" w:w="2268"/>
          </w:tcPr>
          <w:p>
            <w:pPr>
              <w:jc w:val="right"/>
            </w:pPr>
            <w:r>
              <w:rPr>
                <w:rFonts w:ascii="Times New Roman" w:hAnsi="Times New Roman" w:eastAsia="SimSun"/>
                <w:b/>
                <w:color w:val="555555"/>
                <w:sz w:val="22"/>
              </w:rPr>
              <w:t>Student ID</w:t>
            </w:r>
          </w:p>
        </w:tc>
        <w:tc>
          <w:tcPr>
            <w:tcW w:type="dxa" w:w="3969"/>
          </w:tcPr>
          <w:p>
            <w:r>
              <w:rPr>
                <w:rFonts w:ascii="Times New Roman" w:hAnsi="Times New Roman" w:eastAsia="SimSun"/>
                <w:b/>
                <w:sz w:val="22"/>
              </w:rPr>
              <w:t>MC649298</w:t>
            </w:r>
          </w:p>
        </w:tc>
      </w:tr>
      <w:tr>
        <w:trPr>
          <w:cantSplit/>
        </w:trPr>
        <w:tc>
          <w:tcPr>
            <w:tcW w:type="dxa" w:w="2268"/>
          </w:tcPr>
          <w:p>
            <w:pPr>
              <w:jc w:val="right"/>
            </w:pPr>
            <w:r>
              <w:rPr>
                <w:rFonts w:ascii="Times New Roman" w:hAnsi="Times New Roman" w:eastAsia="SimSun"/>
                <w:b/>
                <w:color w:val="555555"/>
                <w:sz w:val="22"/>
              </w:rPr>
              <w:t>Student Name</w:t>
            </w:r>
          </w:p>
        </w:tc>
        <w:tc>
          <w:tcPr>
            <w:tcW w:type="dxa" w:w="3969"/>
          </w:tcPr>
          <w:p>
            <w:r>
              <w:rPr>
                <w:rFonts w:ascii="Times New Roman" w:hAnsi="Times New Roman" w:eastAsia="SimSun"/>
                <w:b/>
                <w:sz w:val="22"/>
              </w:rPr>
              <w:t>劉海翔 (Liu Haixiang)</w:t>
            </w:r>
          </w:p>
        </w:tc>
      </w:tr>
      <w:tr>
        <w:trPr>
          <w:cantSplit/>
        </w:trPr>
        <w:tc>
          <w:tcPr>
            <w:tcW w:type="dxa" w:w="2268"/>
          </w:tcPr>
          <w:p>
            <w:pPr>
              <w:jc w:val="right"/>
            </w:pPr>
            <w:r>
              <w:rPr>
                <w:rFonts w:ascii="Times New Roman" w:hAnsi="Times New Roman" w:eastAsia="SimSun"/>
                <w:b/>
                <w:color w:val="555555"/>
                <w:sz w:val="22"/>
              </w:rPr>
              <w:t>Student ID</w:t>
            </w:r>
          </w:p>
        </w:tc>
        <w:tc>
          <w:tcPr>
            <w:tcW w:type="dxa" w:w="3969"/>
          </w:tcPr>
          <w:p>
            <w:r>
              <w:rPr>
                <w:rFonts w:ascii="Times New Roman" w:hAnsi="Times New Roman" w:eastAsia="SimSun"/>
                <w:b/>
                <w:sz w:val="22"/>
              </w:rPr>
              <w:t>MC649337</w:t>
            </w:r>
          </w:p>
        </w:tc>
      </w:tr>
      <w:tr>
        <w:trPr>
          <w:cantSplit/>
        </w:trPr>
        <w:tc>
          <w:tcPr>
            <w:tcW w:type="dxa" w:w="2268"/>
          </w:tcPr>
          <w:p>
            <w:pPr>
              <w:jc w:val="right"/>
            </w:pPr>
            <w:r>
              <w:rPr>
                <w:rFonts w:ascii="Times New Roman" w:hAnsi="Times New Roman" w:eastAsia="SimSun"/>
                <w:b/>
                <w:color w:val="555555"/>
                <w:sz w:val="22"/>
              </w:rPr>
              <w:t>Student Name</w:t>
            </w:r>
          </w:p>
        </w:tc>
        <w:tc>
          <w:tcPr>
            <w:tcW w:type="dxa" w:w="3969"/>
          </w:tcPr>
          <w:p>
            <w:r>
              <w:rPr>
                <w:rFonts w:ascii="Times New Roman" w:hAnsi="Times New Roman" w:eastAsia="SimSun"/>
                <w:b/>
                <w:sz w:val="22"/>
              </w:rPr>
              <w:t>Chan Ka Wai</w:t>
            </w:r>
          </w:p>
        </w:tc>
      </w:tr>
    </w:tbl>
    <w:p>
      <w:pPr>
        <w:spacing w:after="1000" w:before="0" w:line="324" w:lineRule="auto"/>
      </w:pPr>
    </w:p>
    <w:p>
      <w:pPr>
        <w:spacing w:after="120" w:before="0" w:line="324" w:lineRule="auto"/>
        <w:jc w:val="center"/>
      </w:pPr>
      <w:r>
        <w:rPr>
          <w:rFonts w:ascii="Times New Roman" w:hAnsi="Times New Roman" w:eastAsia="SimSun"/>
          <w:b w:val="0"/>
          <w:i w:val="0"/>
          <w:color w:val="555555"/>
          <w:sz w:val="20"/>
        </w:rPr>
        <w:t>Pair 04  ·  Class D      |      Coursework item: Assignment 02 – Revised Project Proposal</w:t>
      </w:r>
    </w:p>
    <w:p>
      <w:pPr>
        <w:spacing w:after="120" w:before="0" w:line="324" w:lineRule="auto"/>
        <w:jc w:val="center"/>
      </w:pPr>
      <w:r>
        <w:rPr>
          <w:rFonts w:ascii="Times New Roman" w:hAnsi="Times New Roman" w:eastAsia="SimSun"/>
          <w:b w:val="0"/>
          <w:i w:val="0"/>
          <w:color w:val="555555"/>
          <w:sz w:val="20"/>
        </w:rPr>
        <w:t>21 October 2026</w:t>
      </w:r>
    </w:p>
    <w:p>
      <w:r>
        <w:br w:type="page"/>
      </w:r>
    </w:p>
    <w:p>
      <w:pPr>
        <w:keepNext/>
        <w:spacing w:after="100" w:before="0" w:line="324" w:lineRule="auto"/>
      </w:pPr>
      <w:r>
        <w:rPr>
          <w:rFonts w:ascii="Times New Roman" w:hAnsi="Times New Roman" w:eastAsia="SimSun"/>
          <w:b/>
          <w:i w:val="0"/>
          <w:color w:val="1F3864"/>
          <w:sz w:val="26"/>
        </w:rPr>
        <w:t>1.  Project Title and Research Question</w:t>
      </w:r>
    </w:p>
    <w:p>
      <w:pPr>
        <w:spacing w:after="40" w:before="0" w:line="324" w:lineRule="auto"/>
      </w:pPr>
      <w:r>
        <w:rPr>
          <w:rFonts w:ascii="Times New Roman" w:hAnsi="Times New Roman" w:eastAsia="SimSun"/>
          <w:b/>
          <w:i w:val="0"/>
          <w:sz w:val="22"/>
        </w:rPr>
        <w:t>Title</w:t>
      </w:r>
    </w:p>
    <w:p>
      <w:pPr>
        <w:spacing w:after="160" w:before="0" w:line="324" w:lineRule="auto"/>
      </w:pPr>
      <w:r>
        <w:rPr>
          <w:rFonts w:ascii="Times New Roman" w:hAnsi="Times New Roman" w:eastAsia="SimSun"/>
          <w:b/>
          <w:i w:val="0"/>
          <w:color w:val="1F3864"/>
          <w:sz w:val="24"/>
        </w:rPr>
        <w:t>Post-Pandemic Recovery of Macau’s Visitor Economy: How Fast, and How Uneven?</w:t>
      </w:r>
    </w:p>
    <w:p>
      <w:pPr>
        <w:spacing w:after="40" w:before="0" w:line="324" w:lineRule="auto"/>
      </w:pPr>
      <w:r>
        <w:rPr>
          <w:rFonts w:ascii="Times New Roman" w:hAnsi="Times New Roman" w:eastAsia="SimSun"/>
          <w:b/>
          <w:i w:val="0"/>
          <w:sz w:val="22"/>
        </w:rPr>
        <w:t>Research question</w:t>
      </w:r>
    </w:p>
    <w:p>
      <w:pPr>
        <w:spacing w:after="160" w:before="0" w:line="324" w:lineRule="auto"/>
      </w:pPr>
      <w:r>
        <w:rPr>
          <w:rFonts w:ascii="Times New Roman" w:hAnsi="Times New Roman" w:eastAsia="SimSun"/>
          <w:b w:val="0"/>
          <w:i/>
          <w:sz w:val="22"/>
        </w:rPr>
        <w:t>Since Macau reopened its borders in January 2023, how has the monthly visitor volume recovered relative to the 2019 pre-pandemic baseline, and which visitor segments — same-day versus overnight, source market, and point of entry — have recovered fastest or lagged behind?</w:t>
      </w:r>
    </w:p>
    <w:p>
      <w:pPr>
        <w:spacing w:after="40" w:before="0" w:line="324" w:lineRule="auto"/>
      </w:pPr>
      <w:r>
        <w:rPr>
          <w:rFonts w:ascii="Times New Roman" w:hAnsi="Times New Roman" w:eastAsia="SimSun"/>
          <w:b/>
          <w:i w:val="0"/>
          <w:sz w:val="22"/>
        </w:rPr>
        <w:t>Region and domain</w:t>
      </w:r>
    </w:p>
    <w:p>
      <w:pPr>
        <w:spacing w:after="120" w:before="0" w:line="324" w:lineRule="auto"/>
      </w:pPr>
      <w:r>
        <w:rPr>
          <w:rFonts w:ascii="Times New Roman" w:hAnsi="Times New Roman" w:eastAsia="SimSun"/>
          <w:b w:val="0"/>
          <w:i w:val="0"/>
          <w:sz w:val="22"/>
        </w:rPr>
        <w:t>Region: the Macao Special Administrative Region (SAR), China.  Domain category: tourism and hospitality economics — specifically inbound visitor demand and the structure of the visitor mix.</w:t>
      </w:r>
    </w:p>
    <w:p>
      <w:pPr>
        <w:keepNext/>
        <w:spacing w:after="100" w:before="240" w:line="324" w:lineRule="auto"/>
      </w:pPr>
      <w:r>
        <w:rPr>
          <w:rFonts w:ascii="Times New Roman" w:hAnsi="Times New Roman" w:eastAsia="SimSun"/>
          <w:b/>
          <w:i w:val="0"/>
          <w:color w:val="1F3864"/>
          <w:sz w:val="26"/>
        </w:rPr>
        <w:t>2.  Purpose</w:t>
      </w:r>
    </w:p>
    <w:p>
      <w:pPr>
        <w:spacing w:after="40" w:before="0" w:line="324" w:lineRule="auto"/>
      </w:pPr>
      <w:r>
        <w:rPr>
          <w:rFonts w:ascii="Times New Roman" w:hAnsi="Times New Roman" w:eastAsia="SimSun"/>
          <w:b/>
          <w:i w:val="0"/>
          <w:sz w:val="22"/>
        </w:rPr>
        <w:t>Outcomes</w:t>
      </w:r>
    </w:p>
    <w:p>
      <w:pPr>
        <w:spacing w:after="120" w:before="0" w:line="324" w:lineRule="auto"/>
      </w:pPr>
      <w:r>
        <w:rPr>
          <w:rFonts w:ascii="Times New Roman" w:hAnsi="Times New Roman" w:eastAsia="SimSun"/>
          <w:b w:val="0"/>
          <w:i w:val="0"/>
          <w:sz w:val="22"/>
        </w:rPr>
        <w:t>The project connects directly to the course outcomes on visual storytelling: it takes a real, government-published dataset and turns it into a series of charts that answer one question. It also supports our major in data science, where the ability to communicate a time-series result to a non-technical audience — policy makers, hotel operators, airline planners — is the deliverable that matters most. For Liu Haixiang it extends the recession-analysis work of the individual part of this assignment from a firm-level dataset to a whole destination economy; for Chan Ka Wai it is a first end-to-end project in which the statistics, the visual design and the narrative must agree with each other.</w:t>
      </w:r>
    </w:p>
    <w:p>
      <w:pPr>
        <w:spacing w:after="40" w:before="0" w:line="324" w:lineRule="auto"/>
      </w:pPr>
      <w:r>
        <w:rPr>
          <w:rFonts w:ascii="Times New Roman" w:hAnsi="Times New Roman" w:eastAsia="SimSun"/>
          <w:b/>
          <w:i w:val="0"/>
          <w:sz w:val="22"/>
        </w:rPr>
        <w:t>Skills</w:t>
      </w:r>
    </w:p>
    <w:p>
      <w:pPr>
        <w:spacing w:after="120" w:before="0" w:line="324" w:lineRule="auto"/>
      </w:pPr>
      <w:r>
        <w:rPr>
          <w:rFonts w:ascii="Times New Roman" w:hAnsi="Times New Roman" w:eastAsia="SimSun"/>
          <w:b w:val="0"/>
          <w:i w:val="0"/>
          <w:sz w:val="22"/>
        </w:rPr>
        <w:t>Data wrangling of official statistical releases (wide-to-long reshaping, month parsing, handling revised and provisional figures); index construction against a pre-pandemic baseline; time-series and composition visualization (index lines, small multiples, 100% stacked areas); interactive dashboard design in Plotly and Dash; and concise analytical writing that states what a chart does and does not show.</w:t>
      </w:r>
    </w:p>
    <w:p>
      <w:pPr>
        <w:spacing w:after="40" w:before="0" w:line="324" w:lineRule="auto"/>
      </w:pPr>
      <w:r>
        <w:rPr>
          <w:rFonts w:ascii="Times New Roman" w:hAnsi="Times New Roman" w:eastAsia="SimSun"/>
          <w:b/>
          <w:i w:val="0"/>
          <w:sz w:val="22"/>
        </w:rPr>
        <w:t>Knowledge</w:t>
      </w:r>
    </w:p>
    <w:p>
      <w:pPr>
        <w:spacing w:after="120" w:before="0" w:line="324" w:lineRule="auto"/>
      </w:pPr>
      <w:r>
        <w:rPr>
          <w:rFonts w:ascii="Times New Roman" w:hAnsi="Times New Roman" w:eastAsia="SimSun"/>
          <w:b w:val="0"/>
          <w:i w:val="0"/>
          <w:sz w:val="22"/>
        </w:rPr>
        <w:t>Tourism demand and seasonality; structural breaks and level shifts in time series; the difference between volume recovery and value or quality recovery; the composition effects created by same-day visitors; and the limits of official monthly statistics when definitions change.</w:t>
      </w:r>
    </w:p>
    <w:p>
      <w:r>
        <w:br w:type="page"/>
      </w:r>
    </w:p>
    <w:p>
      <w:pPr>
        <w:keepNext/>
        <w:spacing w:after="100" w:before="0" w:line="324" w:lineRule="auto"/>
      </w:pPr>
      <w:r>
        <w:rPr>
          <w:rFonts w:ascii="Times New Roman" w:hAnsi="Times New Roman" w:eastAsia="SimSun"/>
          <w:b/>
          <w:i w:val="0"/>
          <w:color w:val="1F3864"/>
          <w:sz w:val="26"/>
        </w:rPr>
        <w:t>3.  Data Sources</w:t>
      </w:r>
    </w:p>
    <w:p>
      <w:pPr>
        <w:keepNext/>
        <w:spacing w:after="120" w:before="0" w:line="324" w:lineRule="auto"/>
      </w:pPr>
      <w:r>
        <w:rPr>
          <w:rFonts w:ascii="Times New Roman" w:hAnsi="Times New Roman" w:eastAsia="SimSun"/>
          <w:b w:val="0"/>
          <w:i w:val="0"/>
          <w:sz w:val="22"/>
        </w:rPr>
        <w:t>Both datasets are published by the Statistics and Census Service (DSEC) of the Macao SAR and are free to download. They cover the same population and the same monthly frequency, so they can be joined on the month key.</w:t>
      </w:r>
    </w:p>
    <w:tbl>
      <w:tblPr>
        <w:tblStyle w:val="TableGrid"/>
        <w:tblW w:type="auto" w:w="0"/>
        <w:jc w:val="center"/>
        <w:tblLook w:firstColumn="1" w:firstRow="1" w:lastColumn="0" w:lastRow="0" w:noHBand="0" w:noVBand="1" w:val="04A0"/>
      </w:tblPr>
      <w:tblGrid>
        <w:gridCol w:w="3061"/>
        <w:gridCol w:w="3061"/>
        <w:gridCol w:w="3061"/>
      </w:tblGrid>
      <w:tr>
        <w:trPr>
          <w:cantSplit/>
          <w:tblHeader/>
        </w:trPr>
        <w:tc>
          <w:tcPr>
            <w:tcW w:type="dxa" w:w="3061"/>
            <w:shd w:val="clear" w:color="auto" w:fill="D9E2F3"/>
          </w:tcPr>
          <w:p>
            <w:r>
              <w:rPr>
                <w:b/>
              </w:rPr>
              <w:t>#</w:t>
            </w:r>
          </w:p>
        </w:tc>
        <w:tc>
          <w:tcPr>
            <w:tcW w:type="dxa" w:w="3061"/>
            <w:shd w:val="clear" w:color="auto" w:fill="D9E2F3"/>
          </w:tcPr>
          <w:p>
            <w:r>
              <w:rPr>
                <w:b/>
              </w:rPr>
              <w:t>Dataset and publisher</w:t>
            </w:r>
          </w:p>
        </w:tc>
        <w:tc>
          <w:tcPr>
            <w:tcW w:type="dxa" w:w="3061"/>
            <w:shd w:val="clear" w:color="auto" w:fill="D9E2F3"/>
          </w:tcPr>
          <w:p>
            <w:r>
              <w:rPr>
                <w:b/>
              </w:rPr>
              <w:t>Link</w:t>
            </w:r>
          </w:p>
        </w:tc>
      </w:tr>
      <w:tr>
        <w:trPr>
          <w:cantSplit/>
        </w:trPr>
        <w:tc>
          <w:tcPr>
            <w:tcW w:type="dxa" w:w="3061"/>
          </w:tcPr>
          <w:p>
            <w:pPr>
              <w:spacing w:after="40"/>
            </w:pPr>
            <w:r>
              <w:rPr>
                <w:rFonts w:ascii="Times New Roman" w:hAnsi="Times New Roman" w:eastAsia="SimSun"/>
                <w:b/>
                <w:sz w:val="19"/>
              </w:rPr>
              <w:t>1</w:t>
            </w:r>
          </w:p>
        </w:tc>
        <w:tc>
          <w:tcPr>
            <w:tcW w:type="dxa" w:w="3061"/>
          </w:tcPr>
          <w:p>
            <w:pPr>
              <w:spacing w:after="40"/>
            </w:pPr>
            <w:r>
              <w:rPr>
                <w:rFonts w:ascii="Times New Roman" w:hAnsi="Times New Roman" w:eastAsia="SimSun"/>
                <w:b w:val="0"/>
                <w:sz w:val="19"/>
              </w:rPr>
              <w:t>Visitor Arrivals — monthly, 2019 to present (DSEC, Tourism Statistics)</w:t>
            </w:r>
          </w:p>
        </w:tc>
        <w:tc>
          <w:tcPr>
            <w:tcW w:type="dxa" w:w="3061"/>
          </w:tcPr>
          <w:p>
            <w:pPr>
              <w:spacing w:after="40"/>
            </w:pPr>
            <w:r>
              <w:rPr>
                <w:rFonts w:ascii="Times New Roman" w:hAnsi="Times New Roman" w:eastAsia="SimSun"/>
                <w:b w:val="0"/>
                <w:sz w:val="19"/>
              </w:rPr>
              <w:t>https://www.dsec.gov.mo/en-US/Statistic?id=402</w:t>
            </w:r>
          </w:p>
        </w:tc>
      </w:tr>
      <w:tr>
        <w:trPr>
          <w:cantSplit/>
        </w:trPr>
        <w:tc>
          <w:tcPr>
            <w:tcW w:type="dxa" w:w="3061"/>
          </w:tcPr>
          <w:p>
            <w:pPr>
              <w:spacing w:after="40"/>
            </w:pPr>
            <w:r>
              <w:rPr>
                <w:rFonts w:ascii="Times New Roman" w:hAnsi="Times New Roman" w:eastAsia="SimSun"/>
                <w:b/>
                <w:sz w:val="19"/>
              </w:rPr>
              <w:t>2</w:t>
            </w:r>
          </w:p>
        </w:tc>
        <w:tc>
          <w:tcPr>
            <w:tcW w:type="dxa" w:w="3061"/>
          </w:tcPr>
          <w:p>
            <w:pPr>
              <w:spacing w:after="40"/>
            </w:pPr>
            <w:r>
              <w:rPr>
                <w:rFonts w:ascii="Times New Roman" w:hAnsi="Times New Roman" w:eastAsia="SimSun"/>
                <w:b w:val="0"/>
                <w:sz w:val="19"/>
              </w:rPr>
              <w:t>Package Tours and Hotel Occupancy Rate — monthly, 2019 to present (DSEC)</w:t>
            </w:r>
          </w:p>
        </w:tc>
        <w:tc>
          <w:tcPr>
            <w:tcW w:type="dxa" w:w="3061"/>
          </w:tcPr>
          <w:p>
            <w:pPr>
              <w:spacing w:after="40"/>
            </w:pPr>
            <w:r>
              <w:rPr>
                <w:rFonts w:ascii="Times New Roman" w:hAnsi="Times New Roman" w:eastAsia="SimSun"/>
                <w:b w:val="0"/>
                <w:sz w:val="19"/>
              </w:rPr>
              <w:t>https://www.dsec.gov.mo/en-US/Statistic?id=403</w:t>
            </w:r>
          </w:p>
        </w:tc>
      </w:tr>
      <w:tr>
        <w:trPr>
          <w:cantSplit/>
        </w:trPr>
        <w:tc>
          <w:tcPr>
            <w:tcW w:type="dxa" w:w="3061"/>
          </w:tcPr>
          <w:p>
            <w:pPr>
              <w:spacing w:after="40"/>
            </w:pPr>
            <w:r>
              <w:rPr>
                <w:rFonts w:ascii="Times New Roman" w:hAnsi="Times New Roman" w:eastAsia="SimSun"/>
                <w:b/>
                <w:sz w:val="19"/>
              </w:rPr>
              <w:t>3</w:t>
            </w:r>
          </w:p>
        </w:tc>
        <w:tc>
          <w:tcPr>
            <w:tcW w:type="dxa" w:w="3061"/>
          </w:tcPr>
          <w:p>
            <w:pPr>
              <w:spacing w:after="40"/>
            </w:pPr>
            <w:r>
              <w:rPr>
                <w:rFonts w:ascii="Times New Roman" w:hAnsi="Times New Roman" w:eastAsia="SimSun"/>
                <w:b w:val="0"/>
                <w:sz w:val="19"/>
              </w:rPr>
              <w:t>Visitor Statistics Database — detailed, queryable and exportable segment data (DSEC)</w:t>
            </w:r>
          </w:p>
        </w:tc>
        <w:tc>
          <w:tcPr>
            <w:tcW w:type="dxa" w:w="3061"/>
          </w:tcPr>
          <w:p>
            <w:pPr>
              <w:spacing w:after="40"/>
            </w:pPr>
            <w:r>
              <w:rPr>
                <w:rFonts w:ascii="Times New Roman" w:hAnsi="Times New Roman" w:eastAsia="SimSun"/>
                <w:b w:val="0"/>
                <w:sz w:val="19"/>
              </w:rPr>
              <w:t>https://www.dsec.gov.mo/TourismDBWeb</w:t>
            </w:r>
          </w:p>
        </w:tc>
      </w:tr>
    </w:tbl>
    <w:p>
      <w:pPr>
        <w:spacing w:after="120" w:before="80" w:line="324" w:lineRule="auto"/>
      </w:pPr>
      <w:r>
        <w:rPr>
          <w:rFonts w:ascii="Times New Roman" w:hAnsi="Times New Roman" w:eastAsia="SimSun"/>
          <w:b w:val="0"/>
          <w:i w:val="0"/>
          <w:sz w:val="22"/>
        </w:rPr>
        <w:t>Data volume is small (about 90 monthly observations per series), which is an advantage: every number can be traced back to a published table, and the whole analysis runs in a single notebook.</w:t>
      </w:r>
    </w:p>
    <w:p>
      <w:pPr>
        <w:keepNext/>
        <w:spacing w:after="100" w:before="240" w:line="324" w:lineRule="auto"/>
      </w:pPr>
      <w:r>
        <w:rPr>
          <w:rFonts w:ascii="Times New Roman" w:hAnsi="Times New Roman" w:eastAsia="SimSun"/>
          <w:b/>
          <w:i w:val="0"/>
          <w:color w:val="1F3864"/>
          <w:sz w:val="26"/>
        </w:rPr>
        <w:t>4.  Tasks and Deliverables</w:t>
      </w:r>
    </w:p>
    <w:p>
      <w:pPr>
        <w:pStyle w:val="ListBullet"/>
        <w:spacing w:after="60" w:line="312" w:lineRule="auto"/>
      </w:pPr>
      <w:r>
        <w:rPr>
          <w:rFonts w:ascii="Times New Roman" w:hAnsi="Times New Roman" w:eastAsia="SimSun"/>
          <w:b/>
          <w:sz w:val="22"/>
        </w:rPr>
        <w:t xml:space="preserve">Task 1 — Acquisition. </w:t>
      </w:r>
      <w:r>
        <w:rPr>
          <w:rFonts w:ascii="Times New Roman" w:hAnsi="Times New Roman" w:eastAsia="SimSun"/>
          <w:b w:val="0"/>
          <w:sz w:val="22"/>
        </w:rPr>
        <w:t>Download the monthly visitor-arrival tables and the package-tour / hotel-occupancy tables; record the download date and the release status of the last month in a data dictionary.</w:t>
      </w:r>
    </w:p>
    <w:p>
      <w:pPr>
        <w:pStyle w:val="ListBullet"/>
        <w:spacing w:after="60" w:line="312" w:lineRule="auto"/>
      </w:pPr>
      <w:r>
        <w:rPr>
          <w:rFonts w:ascii="Times New Roman" w:hAnsi="Times New Roman" w:eastAsia="SimSun"/>
          <w:b/>
          <w:sz w:val="22"/>
        </w:rPr>
        <w:t xml:space="preserve">Task 2 — Tidying. </w:t>
      </w:r>
      <w:r>
        <w:rPr>
          <w:rFonts w:ascii="Times New Roman" w:hAnsi="Times New Roman" w:eastAsia="SimSun"/>
          <w:b w:val="0"/>
          <w:sz w:val="22"/>
        </w:rPr>
        <w:t>Reshape every table into a long format with the keys month, year, series, value and unit; parse the month labels into real dates; keep the original source table name as a column so any figure can be audited.</w:t>
      </w:r>
    </w:p>
    <w:p>
      <w:pPr>
        <w:pStyle w:val="ListBullet"/>
        <w:spacing w:after="60" w:line="312" w:lineRule="auto"/>
      </w:pPr>
      <w:r>
        <w:rPr>
          <w:rFonts w:ascii="Times New Roman" w:hAnsi="Times New Roman" w:eastAsia="SimSun"/>
          <w:b/>
          <w:sz w:val="22"/>
        </w:rPr>
        <w:t xml:space="preserve">Task 3 — Baseline index. </w:t>
      </w:r>
      <w:r>
        <w:rPr>
          <w:rFonts w:ascii="Times New Roman" w:hAnsi="Times New Roman" w:eastAsia="SimSun"/>
          <w:b w:val="0"/>
          <w:sz w:val="22"/>
        </w:rPr>
        <w:t>Set 2019 = 100 for total arrivals and for each segment (same-day, overnight, by source market, by point of entry) so that series of very different magnitudes can be compared on one axis.</w:t>
      </w:r>
    </w:p>
    <w:p>
      <w:pPr>
        <w:pStyle w:val="ListBullet"/>
        <w:spacing w:after="60" w:line="312" w:lineRule="auto"/>
      </w:pPr>
      <w:r>
        <w:rPr>
          <w:rFonts w:ascii="Times New Roman" w:hAnsi="Times New Roman" w:eastAsia="SimSun"/>
          <w:b/>
          <w:sz w:val="22"/>
        </w:rPr>
        <w:t xml:space="preserve">Task 4 — Visual analysis. </w:t>
      </w:r>
      <w:r>
        <w:rPr>
          <w:rFonts w:ascii="Times New Roman" w:hAnsi="Times New Roman" w:eastAsia="SimSun"/>
          <w:b w:val="0"/>
          <w:sz w:val="22"/>
        </w:rPr>
        <w:t>Produce (a) an index line chart of total monthly arrivals with the border-reopening date marked; (b) a year-by-month heat map to expose seasonality; (c) small multiples of the index by source market; (d) a 100% stacked area of same-day versus overnight visitors; (e) a hotel-occupancy line to compare volume with capacity utilisation.</w:t>
      </w:r>
    </w:p>
    <w:p>
      <w:pPr>
        <w:pStyle w:val="ListBullet"/>
        <w:spacing w:after="60" w:line="312" w:lineRule="auto"/>
      </w:pPr>
      <w:r>
        <w:rPr>
          <w:rFonts w:ascii="Times New Roman" w:hAnsi="Times New Roman" w:eastAsia="SimSun"/>
          <w:b/>
          <w:sz w:val="22"/>
        </w:rPr>
        <w:t xml:space="preserve">Task 5 — Dashboard. </w:t>
      </w:r>
      <w:r>
        <w:rPr>
          <w:rFonts w:ascii="Times New Roman" w:hAnsi="Times New Roman" w:eastAsia="SimSun"/>
          <w:b w:val="0"/>
          <w:sz w:val="22"/>
        </w:rPr>
        <w:t>Build a Plotly Dash dashboard with two dropdowns (report type and month or year) that reproduces the charts interactively, reusing the component pattern practised in Module 04.</w:t>
      </w:r>
    </w:p>
    <w:p>
      <w:pPr>
        <w:pStyle w:val="ListBullet"/>
        <w:spacing w:after="60" w:line="312" w:lineRule="auto"/>
      </w:pPr>
      <w:r>
        <w:rPr>
          <w:rFonts w:ascii="Times New Roman" w:hAnsi="Times New Roman" w:eastAsia="SimSun"/>
          <w:b/>
          <w:sz w:val="22"/>
        </w:rPr>
        <w:t xml:space="preserve">Task 6 — Storytelling. </w:t>
      </w:r>
      <w:r>
        <w:rPr>
          <w:rFonts w:ascii="Times New Roman" w:hAnsi="Times New Roman" w:eastAsia="SimSun"/>
          <w:b w:val="0"/>
          <w:sz w:val="22"/>
        </w:rPr>
        <w:t>Write the analytical narrative — five to six slides, one message per slide, each slide stating the question, the chart and the one-sentence conclusion.</w:t>
      </w:r>
    </w:p>
    <w:p>
      <w:pPr>
        <w:spacing w:after="40" w:before="120" w:line="324" w:lineRule="auto"/>
      </w:pPr>
      <w:r>
        <w:rPr>
          <w:rFonts w:ascii="Times New Roman" w:hAnsi="Times New Roman" w:eastAsia="SimSun"/>
          <w:b/>
          <w:i w:val="0"/>
          <w:sz w:val="22"/>
        </w:rPr>
        <w:t>Deliverables</w:t>
      </w:r>
    </w:p>
    <w:p>
      <w:pPr>
        <w:pStyle w:val="ListBullet"/>
        <w:spacing w:after="60" w:line="312" w:lineRule="auto"/>
      </w:pPr>
      <w:r>
        <w:rPr>
          <w:rFonts w:ascii="Times New Roman" w:hAnsi="Times New Roman" w:eastAsia="SimSun"/>
          <w:b w:val="0"/>
          <w:sz w:val="22"/>
        </w:rPr>
        <w:t>cleaned long-format dataset (CSV) plus data dictionary;</w:t>
      </w:r>
    </w:p>
    <w:p>
      <w:pPr>
        <w:pStyle w:val="ListBullet"/>
        <w:spacing w:after="60" w:line="312" w:lineRule="auto"/>
      </w:pPr>
      <w:r>
        <w:rPr>
          <w:rFonts w:ascii="Times New Roman" w:hAnsi="Times New Roman" w:eastAsia="SimSun"/>
          <w:b w:val="0"/>
          <w:sz w:val="22"/>
        </w:rPr>
        <w:t>Jupyter notebook that reproduces every figure from the raw download;</w:t>
      </w:r>
    </w:p>
    <w:p>
      <w:pPr>
        <w:pStyle w:val="ListBullet"/>
        <w:spacing w:after="60" w:line="312" w:lineRule="auto"/>
      </w:pPr>
      <w:r>
        <w:rPr>
          <w:rFonts w:ascii="Times New Roman" w:hAnsi="Times New Roman" w:eastAsia="SimSun"/>
          <w:b w:val="0"/>
          <w:sz w:val="22"/>
        </w:rPr>
        <w:t>Dash application (zipped project space) with the two-dropdown layout;</w:t>
      </w:r>
    </w:p>
    <w:p>
      <w:pPr>
        <w:pStyle w:val="ListBullet"/>
        <w:spacing w:after="60" w:line="312" w:lineRule="auto"/>
      </w:pPr>
      <w:r>
        <w:rPr>
          <w:rFonts w:ascii="Times New Roman" w:hAnsi="Times New Roman" w:eastAsia="SimSun"/>
          <w:b w:val="0"/>
          <w:sz w:val="22"/>
        </w:rPr>
        <w:t>five-slide visual story in PDF, and a two-page written summary of findings.</w:t>
      </w:r>
    </w:p>
    <w:p>
      <w:pPr>
        <w:keepNext/>
        <w:spacing w:after="100" w:before="240" w:line="324" w:lineRule="auto"/>
      </w:pPr>
      <w:r>
        <w:rPr>
          <w:rFonts w:ascii="Times New Roman" w:hAnsi="Times New Roman" w:eastAsia="SimSun"/>
          <w:b/>
          <w:i w:val="0"/>
          <w:color w:val="1F3864"/>
          <w:sz w:val="26"/>
        </w:rPr>
        <w:t>5.  Criteria for Success</w:t>
      </w:r>
    </w:p>
    <w:p>
      <w:pPr>
        <w:spacing w:after="80" w:before="0" w:line="324" w:lineRule="auto"/>
      </w:pPr>
      <w:r>
        <w:rPr>
          <w:rFonts w:ascii="Times New Roman" w:hAnsi="Times New Roman" w:eastAsia="SimSun"/>
          <w:b w:val="0"/>
          <w:i w:val="0"/>
          <w:sz w:val="22"/>
        </w:rPr>
        <w:t>A finished product is successful when a reader who has never seen the data can, within one minute, state what happened to visitor volume, when the turning point was, and which segment recovered slowest — and can then check that claim against a labelled chart. Concretely:</w:t>
      </w:r>
    </w:p>
    <w:p>
      <w:pPr>
        <w:pStyle w:val="ListBullet"/>
        <w:spacing w:after="60" w:line="312" w:lineRule="auto"/>
      </w:pPr>
      <w:r>
        <w:rPr>
          <w:rFonts w:ascii="Times New Roman" w:hAnsi="Times New Roman" w:eastAsia="SimSun"/>
          <w:b w:val="0"/>
          <w:sz w:val="22"/>
        </w:rPr>
        <w:t>every figure is reproducible from the downloaded files with one command;</w:t>
      </w:r>
    </w:p>
    <w:p>
      <w:pPr>
        <w:pStyle w:val="ListBullet"/>
        <w:spacing w:after="60" w:line="312" w:lineRule="auto"/>
      </w:pPr>
      <w:r>
        <w:rPr>
          <w:rFonts w:ascii="Times New Roman" w:hAnsi="Times New Roman" w:eastAsia="SimSun"/>
          <w:b w:val="0"/>
          <w:sz w:val="22"/>
        </w:rPr>
        <w:t>each chart carries a title that states the message, labelled axes with units, and a readable source note;</w:t>
      </w:r>
    </w:p>
    <w:p>
      <w:pPr>
        <w:pStyle w:val="ListBullet"/>
        <w:spacing w:after="60" w:line="312" w:lineRule="auto"/>
      </w:pPr>
      <w:r>
        <w:rPr>
          <w:rFonts w:ascii="Times New Roman" w:hAnsi="Times New Roman" w:eastAsia="SimSun"/>
          <w:b w:val="0"/>
          <w:sz w:val="22"/>
        </w:rPr>
        <w:t>no chart mixes two y-axes or compares index levels that are not on a common baseline;</w:t>
      </w:r>
    </w:p>
    <w:p>
      <w:pPr>
        <w:pStyle w:val="ListBullet"/>
        <w:spacing w:after="60" w:line="312" w:lineRule="auto"/>
      </w:pPr>
      <w:r>
        <w:rPr>
          <w:rFonts w:ascii="Times New Roman" w:hAnsi="Times New Roman" w:eastAsia="SimSun"/>
          <w:b w:val="0"/>
          <w:sz w:val="22"/>
        </w:rPr>
        <w:t>the dashboard runs locally from the zipped project space without editing the code;</w:t>
      </w:r>
    </w:p>
    <w:p>
      <w:pPr>
        <w:pStyle w:val="ListBullet"/>
        <w:spacing w:after="60" w:line="312" w:lineRule="auto"/>
      </w:pPr>
      <w:r>
        <w:rPr>
          <w:rFonts w:ascii="Times New Roman" w:hAnsi="Times New Roman" w:eastAsia="SimSun"/>
          <w:b w:val="0"/>
          <w:sz w:val="22"/>
        </w:rPr>
        <w:t>the written summary contains no claim that cannot be pointed to on a chart.</w:t>
      </w:r>
    </w:p>
    <w:p>
      <w:pPr>
        <w:spacing w:after="80" w:before="160" w:line="324" w:lineRule="auto"/>
      </w:pPr>
      <w:r>
        <w:rPr>
          <w:rFonts w:ascii="Times New Roman" w:hAnsi="Times New Roman" w:eastAsia="SimSun"/>
          <w:b/>
          <w:i w:val="0"/>
          <w:sz w:val="22"/>
        </w:rPr>
        <w:t>Assessment rubric (self-check before submission)</w:t>
      </w:r>
    </w:p>
    <w:tbl>
      <w:tblPr>
        <w:tblStyle w:val="TableGrid"/>
        <w:tblW w:type="auto" w:w="0"/>
        <w:jc w:val="center"/>
        <w:tblLook w:firstColumn="1" w:firstRow="1" w:lastColumn="0" w:lastRow="0" w:noHBand="0" w:noVBand="1" w:val="04A0"/>
      </w:tblPr>
      <w:tblGrid>
        <w:gridCol w:w="2296"/>
        <w:gridCol w:w="2296"/>
        <w:gridCol w:w="2296"/>
        <w:gridCol w:w="2296"/>
      </w:tblGrid>
      <w:tr>
        <w:trPr>
          <w:cantSplit/>
          <w:tblHeader/>
        </w:trPr>
        <w:tc>
          <w:tcPr>
            <w:tcW w:type="dxa" w:w="2296"/>
            <w:shd w:val="clear" w:color="auto" w:fill="D9E2F3"/>
          </w:tcPr>
          <w:p>
            <w:r>
              <w:rPr>
                <w:b/>
              </w:rPr>
              <w:t>Criterion</w:t>
            </w:r>
          </w:p>
        </w:tc>
        <w:tc>
          <w:tcPr>
            <w:tcW w:type="dxa" w:w="2296"/>
            <w:shd w:val="clear" w:color="auto" w:fill="D9E2F3"/>
          </w:tcPr>
          <w:p>
            <w:r>
              <w:rPr>
                <w:b/>
              </w:rPr>
              <w:t>Weight</w:t>
            </w:r>
          </w:p>
        </w:tc>
        <w:tc>
          <w:tcPr>
            <w:tcW w:type="dxa" w:w="2296"/>
            <w:shd w:val="clear" w:color="auto" w:fill="D9E2F3"/>
          </w:tcPr>
          <w:p>
            <w:r>
              <w:rPr>
                <w:b/>
              </w:rPr>
              <w:t>Meets the standard when…</w:t>
            </w:r>
          </w:p>
        </w:tc>
        <w:tc>
          <w:tcPr>
            <w:tcW w:type="dxa" w:w="2296"/>
            <w:shd w:val="clear" w:color="auto" w:fill="D9E2F3"/>
          </w:tcPr>
          <w:p>
            <w:r>
              <w:rPr>
                <w:b/>
              </w:rPr>
              <w:t>Falls short when…</w:t>
            </w:r>
          </w:p>
        </w:tc>
      </w:tr>
      <w:tr>
        <w:trPr>
          <w:cantSplit/>
        </w:trPr>
        <w:tc>
          <w:tcPr>
            <w:tcW w:type="dxa" w:w="2296"/>
          </w:tcPr>
          <w:p>
            <w:pPr>
              <w:spacing w:after="40"/>
            </w:pPr>
            <w:r>
              <w:rPr>
                <w:rFonts w:ascii="Times New Roman" w:hAnsi="Times New Roman" w:eastAsia="SimSun"/>
                <w:b/>
                <w:sz w:val="19"/>
              </w:rPr>
              <w:t>Correctness of analysis</w:t>
            </w:r>
          </w:p>
        </w:tc>
        <w:tc>
          <w:tcPr>
            <w:tcW w:type="dxa" w:w="2296"/>
          </w:tcPr>
          <w:p>
            <w:pPr>
              <w:spacing w:after="40"/>
            </w:pPr>
            <w:r>
              <w:rPr>
                <w:rFonts w:ascii="Times New Roman" w:hAnsi="Times New Roman" w:eastAsia="SimSun"/>
                <w:b w:val="0"/>
                <w:sz w:val="19"/>
              </w:rPr>
              <w:t>30%</w:t>
            </w:r>
          </w:p>
        </w:tc>
        <w:tc>
          <w:tcPr>
            <w:tcW w:type="dxa" w:w="2296"/>
          </w:tcPr>
          <w:p>
            <w:pPr>
              <w:spacing w:after="40"/>
            </w:pPr>
            <w:r>
              <w:rPr>
                <w:rFonts w:ascii="Times New Roman" w:hAnsi="Times New Roman" w:eastAsia="SimSun"/>
                <w:b w:val="0"/>
                <w:sz w:val="19"/>
              </w:rPr>
              <w:t>index and segment figures match the published tables; assumptions stated</w:t>
            </w:r>
          </w:p>
        </w:tc>
        <w:tc>
          <w:tcPr>
            <w:tcW w:type="dxa" w:w="2296"/>
          </w:tcPr>
          <w:p>
            <w:pPr>
              <w:spacing w:after="40"/>
            </w:pPr>
            <w:r>
              <w:rPr>
                <w:rFonts w:ascii="Times New Roman" w:hAnsi="Times New Roman" w:eastAsia="SimSun"/>
                <w:b w:val="0"/>
                <w:sz w:val="19"/>
              </w:rPr>
              <w:t>numbers cannot be traced to a source table</w:t>
            </w:r>
          </w:p>
        </w:tc>
      </w:tr>
      <w:tr>
        <w:trPr>
          <w:cantSplit/>
        </w:trPr>
        <w:tc>
          <w:tcPr>
            <w:tcW w:type="dxa" w:w="2296"/>
          </w:tcPr>
          <w:p>
            <w:pPr>
              <w:spacing w:after="40"/>
            </w:pPr>
            <w:r>
              <w:rPr>
                <w:rFonts w:ascii="Times New Roman" w:hAnsi="Times New Roman" w:eastAsia="SimSun"/>
                <w:b/>
                <w:sz w:val="19"/>
              </w:rPr>
              <w:t>Choice of visual form</w:t>
            </w:r>
          </w:p>
        </w:tc>
        <w:tc>
          <w:tcPr>
            <w:tcW w:type="dxa" w:w="2296"/>
          </w:tcPr>
          <w:p>
            <w:pPr>
              <w:spacing w:after="40"/>
            </w:pPr>
            <w:r>
              <w:rPr>
                <w:rFonts w:ascii="Times New Roman" w:hAnsi="Times New Roman" w:eastAsia="SimSun"/>
                <w:b w:val="0"/>
                <w:sz w:val="19"/>
              </w:rPr>
              <w:t>25%</w:t>
            </w:r>
          </w:p>
        </w:tc>
        <w:tc>
          <w:tcPr>
            <w:tcW w:type="dxa" w:w="2296"/>
          </w:tcPr>
          <w:p>
            <w:pPr>
              <w:spacing w:after="40"/>
            </w:pPr>
            <w:r>
              <w:rPr>
                <w:rFonts w:ascii="Times New Roman" w:hAnsi="Times New Roman" w:eastAsia="SimSun"/>
                <w:b w:val="0"/>
                <w:sz w:val="19"/>
              </w:rPr>
              <w:t>each chart type fits the question (trend, composition, comparison)</w:t>
            </w:r>
          </w:p>
        </w:tc>
        <w:tc>
          <w:tcPr>
            <w:tcW w:type="dxa" w:w="2296"/>
          </w:tcPr>
          <w:p>
            <w:pPr>
              <w:spacing w:after="40"/>
            </w:pPr>
            <w:r>
              <w:rPr>
                <w:rFonts w:ascii="Times New Roman" w:hAnsi="Times New Roman" w:eastAsia="SimSun"/>
                <w:b w:val="0"/>
                <w:sz w:val="19"/>
              </w:rPr>
              <w:t>charts chosen for decoration; unreadable defaults</w:t>
            </w:r>
          </w:p>
        </w:tc>
      </w:tr>
      <w:tr>
        <w:trPr>
          <w:cantSplit/>
        </w:trPr>
        <w:tc>
          <w:tcPr>
            <w:tcW w:type="dxa" w:w="2296"/>
          </w:tcPr>
          <w:p>
            <w:pPr>
              <w:spacing w:after="40"/>
            </w:pPr>
            <w:r>
              <w:rPr>
                <w:rFonts w:ascii="Times New Roman" w:hAnsi="Times New Roman" w:eastAsia="SimSun"/>
                <w:b/>
                <w:sz w:val="19"/>
              </w:rPr>
              <w:t>Clarity of storytelling</w:t>
            </w:r>
          </w:p>
        </w:tc>
        <w:tc>
          <w:tcPr>
            <w:tcW w:type="dxa" w:w="2296"/>
          </w:tcPr>
          <w:p>
            <w:pPr>
              <w:spacing w:after="40"/>
            </w:pPr>
            <w:r>
              <w:rPr>
                <w:rFonts w:ascii="Times New Roman" w:hAnsi="Times New Roman" w:eastAsia="SimSun"/>
                <w:b w:val="0"/>
                <w:sz w:val="19"/>
              </w:rPr>
              <w:t>25%</w:t>
            </w:r>
          </w:p>
        </w:tc>
        <w:tc>
          <w:tcPr>
            <w:tcW w:type="dxa" w:w="2296"/>
          </w:tcPr>
          <w:p>
            <w:pPr>
              <w:spacing w:after="40"/>
            </w:pPr>
            <w:r>
              <w:rPr>
                <w:rFonts w:ascii="Times New Roman" w:hAnsi="Times New Roman" w:eastAsia="SimSun"/>
                <w:b w:val="0"/>
                <w:sz w:val="19"/>
              </w:rPr>
              <w:t>one message per chart; titles are conclusions, not labels</w:t>
            </w:r>
          </w:p>
        </w:tc>
        <w:tc>
          <w:tcPr>
            <w:tcW w:type="dxa" w:w="2296"/>
          </w:tcPr>
          <w:p>
            <w:pPr>
              <w:spacing w:after="40"/>
            </w:pPr>
            <w:r>
              <w:rPr>
                <w:rFonts w:ascii="Times New Roman" w:hAnsi="Times New Roman" w:eastAsia="SimSun"/>
                <w:b w:val="0"/>
                <w:sz w:val="19"/>
              </w:rPr>
              <w:t>reader must be told what to see</w:t>
            </w:r>
          </w:p>
        </w:tc>
      </w:tr>
      <w:tr>
        <w:trPr>
          <w:cantSplit/>
        </w:trPr>
        <w:tc>
          <w:tcPr>
            <w:tcW w:type="dxa" w:w="2296"/>
          </w:tcPr>
          <w:p>
            <w:pPr>
              <w:spacing w:after="40"/>
            </w:pPr>
            <w:r>
              <w:rPr>
                <w:rFonts w:ascii="Times New Roman" w:hAnsi="Times New Roman" w:eastAsia="SimSun"/>
                <w:b/>
                <w:sz w:val="19"/>
              </w:rPr>
              <w:t>Reproducibility</w:t>
            </w:r>
          </w:p>
        </w:tc>
        <w:tc>
          <w:tcPr>
            <w:tcW w:type="dxa" w:w="2296"/>
          </w:tcPr>
          <w:p>
            <w:pPr>
              <w:spacing w:after="40"/>
            </w:pPr>
            <w:r>
              <w:rPr>
                <w:rFonts w:ascii="Times New Roman" w:hAnsi="Times New Roman" w:eastAsia="SimSun"/>
                <w:b w:val="0"/>
                <w:sz w:val="19"/>
              </w:rPr>
              <w:t>20%</w:t>
            </w:r>
          </w:p>
        </w:tc>
        <w:tc>
          <w:tcPr>
            <w:tcW w:type="dxa" w:w="2296"/>
          </w:tcPr>
          <w:p>
            <w:pPr>
              <w:spacing w:after="40"/>
            </w:pPr>
            <w:r>
              <w:rPr>
                <w:rFonts w:ascii="Times New Roman" w:hAnsi="Times New Roman" w:eastAsia="SimSun"/>
                <w:b w:val="0"/>
                <w:sz w:val="19"/>
              </w:rPr>
              <w:t>notebook and dashboard rerun end-to-end from raw data</w:t>
            </w:r>
          </w:p>
        </w:tc>
        <w:tc>
          <w:tcPr>
            <w:tcW w:type="dxa" w:w="2296"/>
          </w:tcPr>
          <w:p>
            <w:pPr>
              <w:spacing w:after="40"/>
            </w:pPr>
            <w:r>
              <w:rPr>
                <w:rFonts w:ascii="Times New Roman" w:hAnsi="Times New Roman" w:eastAsia="SimSun"/>
                <w:b w:val="0"/>
                <w:sz w:val="19"/>
              </w:rPr>
              <w:t>manual edits or missing files</w:t>
            </w:r>
          </w:p>
        </w:tc>
      </w:tr>
    </w:tbl>
    <w:p>
      <w:pPr>
        <w:keepNext/>
        <w:spacing w:after="100" w:before="240" w:line="324" w:lineRule="auto"/>
      </w:pPr>
      <w:r>
        <w:rPr>
          <w:rFonts w:ascii="Times New Roman" w:hAnsi="Times New Roman" w:eastAsia="SimSun"/>
          <w:b/>
          <w:i w:val="0"/>
          <w:color w:val="1F3864"/>
          <w:sz w:val="26"/>
        </w:rPr>
        <w:t>6.  How the Visualization Answers the Question</w:t>
      </w:r>
    </w:p>
    <w:p>
      <w:pPr>
        <w:spacing w:after="120" w:before="0" w:line="324" w:lineRule="auto"/>
        <w:ind w:firstLine="425"/>
      </w:pPr>
      <w:r>
        <w:rPr>
          <w:rFonts w:ascii="Times New Roman" w:hAnsi="Times New Roman" w:eastAsia="SimSun"/>
          <w:b w:val="0"/>
          <w:i w:val="0"/>
          <w:sz w:val="22"/>
        </w:rPr>
        <w:t>The research question has two halves, speed and unevenness, and each half needs a different visual form. Speed is a question about a single series over time, so it is answered by an index line chart with 2019 set to 100: read vertically, the line shows how many months it took to return to the pre-pandemic level, and read horizontally it shows whether the recovery stalled in particular seasons. Unevenness is a question about composition, so it is answered by small multiples of the same index for each source market and by a 100% stacked area of same-day versus overnight visitors — the first shows which markets are carrying the recovery, the second shows whether the recovery is made of high-value overnight stays or of day-trippers who spend little. Pairing the visitor series with the hotel-occupancy series adds the capacity dimension: arrivals can recover while occupancy does not, and that gap is itself a finding.</w:t>
      </w:r>
    </w:p>
    <w:p>
      <w:pPr>
        <w:spacing w:after="120" w:before="0" w:line="324" w:lineRule="auto"/>
        <w:ind w:firstLine="425"/>
      </w:pPr>
      <w:r>
        <w:rPr>
          <w:rFonts w:ascii="Times New Roman" w:hAnsi="Times New Roman" w:eastAsia="SimSun"/>
          <w:b w:val="0"/>
          <w:i w:val="0"/>
          <w:sz w:val="22"/>
        </w:rPr>
        <w:t>Because both datasets are monthly and official, the dashboard can let a reader switch between markets and months and see the same story from a different angle, which is exactly the ‘storytelling with data’ behaviour the course asks for. The visualization therefore does not merely display the numbers: it answers the two-part question by construction, one chart per part, and it keeps a visible baseline so that no reader can mistake a seasonal dip for a new shock.</w:t>
      </w:r>
    </w:p>
    <w:p>
      <w:pPr>
        <w:keepNext/>
        <w:spacing w:after="100" w:before="240" w:line="324" w:lineRule="auto"/>
      </w:pPr>
      <w:r>
        <w:rPr>
          <w:rFonts w:ascii="Times New Roman" w:hAnsi="Times New Roman" w:eastAsia="SimSun"/>
          <w:b/>
          <w:i w:val="0"/>
          <w:color w:val="1F3864"/>
          <w:sz w:val="26"/>
        </w:rPr>
        <w:t>7.  Collaboration</w:t>
      </w:r>
    </w:p>
    <w:p>
      <w:pPr>
        <w:spacing w:after="120" w:before="0" w:line="324" w:lineRule="auto"/>
        <w:ind w:firstLine="425"/>
      </w:pPr>
      <w:r>
        <w:rPr>
          <w:rFonts w:ascii="Times New Roman" w:hAnsi="Times New Roman" w:eastAsia="SimSun"/>
          <w:b w:val="0"/>
          <w:i w:val="0"/>
          <w:sz w:val="22"/>
        </w:rPr>
        <w:t>Division of work. Chan Ka Wai owns the data pipeline (Tasks 1–3): downloading, tidying, the data dictionary and the baseline index. Liu Haixiang owns the visual layer (Tasks 4–5): the chart specifications, the Dash dashboard and its two dropdowns. Task 6, the story, is written jointly, with each member drafting the slides for the charts they built and the other reviewing them. Both members review the final notebook line by line before submission.</w:t>
      </w:r>
    </w:p>
    <w:p>
      <w:pPr>
        <w:spacing w:after="40" w:before="120" w:line="324" w:lineRule="auto"/>
      </w:pPr>
      <w:r>
        <w:rPr>
          <w:rFonts w:ascii="Times New Roman" w:hAnsi="Times New Roman" w:eastAsia="SimSun"/>
          <w:b/>
          <w:i w:val="0"/>
          <w:sz w:val="22"/>
        </w:rPr>
        <w:t>Ground rules</w:t>
      </w:r>
    </w:p>
    <w:p>
      <w:pPr>
        <w:pStyle w:val="ListBullet"/>
        <w:spacing w:after="60" w:line="312" w:lineRule="auto"/>
      </w:pPr>
      <w:r>
        <w:rPr>
          <w:rFonts w:ascii="Times New Roman" w:hAnsi="Times New Roman" w:eastAsia="SimSun"/>
          <w:b w:val="0"/>
          <w:sz w:val="22"/>
        </w:rPr>
        <w:t>one shared folder per member, one shared notebook, merged weekly — no separate copies of the notebook;</w:t>
      </w:r>
    </w:p>
    <w:p>
      <w:pPr>
        <w:pStyle w:val="ListBullet"/>
        <w:spacing w:after="60" w:line="312" w:lineRule="auto"/>
      </w:pPr>
      <w:r>
        <w:rPr>
          <w:rFonts w:ascii="Times New Roman" w:hAnsi="Times New Roman" w:eastAsia="SimSun"/>
          <w:b w:val="0"/>
          <w:sz w:val="22"/>
        </w:rPr>
        <w:t>every figure in the story must be reproducible by the other member on their own machine;</w:t>
      </w:r>
    </w:p>
    <w:p>
      <w:pPr>
        <w:pStyle w:val="ListBullet"/>
        <w:spacing w:after="60" w:line="312" w:lineRule="auto"/>
      </w:pPr>
      <w:r>
        <w:rPr>
          <w:rFonts w:ascii="Times New Roman" w:hAnsi="Times New Roman" w:eastAsia="SimSun"/>
          <w:b w:val="0"/>
          <w:sz w:val="22"/>
        </w:rPr>
        <w:t>no number enters a slide unless it can be traced to a DSEC table and a date;</w:t>
      </w:r>
    </w:p>
    <w:p>
      <w:pPr>
        <w:pStyle w:val="ListBullet"/>
        <w:spacing w:after="60" w:line="312" w:lineRule="auto"/>
      </w:pPr>
      <w:r>
        <w:rPr>
          <w:rFonts w:ascii="Times New Roman" w:hAnsi="Times New Roman" w:eastAsia="SimSun"/>
          <w:b w:val="0"/>
          <w:sz w:val="22"/>
        </w:rPr>
        <w:t>any use of an AI assistant is recorded in the notebook (prompt, tool, what was accepted), following the course declaration practice;</w:t>
      </w:r>
    </w:p>
    <w:p>
      <w:pPr>
        <w:pStyle w:val="ListBullet"/>
        <w:spacing w:after="60" w:line="312" w:lineRule="auto"/>
      </w:pPr>
      <w:r>
        <w:rPr>
          <w:rFonts w:ascii="Times New Roman" w:hAnsi="Times New Roman" w:eastAsia="SimSun"/>
          <w:b w:val="0"/>
          <w:sz w:val="22"/>
        </w:rPr>
        <w:t>a 15-minute check-in at the start of each work session, and a five-day buffer before the deadline.</w:t>
      </w:r>
    </w:p>
    <w:p>
      <w:pPr>
        <w:spacing w:after="80" w:before="120" w:line="324" w:lineRule="auto"/>
      </w:pPr>
      <w:r>
        <w:rPr>
          <w:rFonts w:ascii="Times New Roman" w:hAnsi="Times New Roman" w:eastAsia="SimSun"/>
          <w:b/>
          <w:i w:val="0"/>
          <w:sz w:val="22"/>
        </w:rPr>
        <w:t>Roles</w:t>
      </w:r>
    </w:p>
    <w:tbl>
      <w:tblPr>
        <w:tblStyle w:val="TableGrid"/>
        <w:tblW w:type="auto" w:w="0"/>
        <w:jc w:val="center"/>
        <w:tblLook w:firstColumn="1" w:firstRow="1" w:lastColumn="0" w:lastRow="0" w:noHBand="0" w:noVBand="1" w:val="04A0"/>
      </w:tblPr>
      <w:tblGrid>
        <w:gridCol w:w="4592"/>
        <w:gridCol w:w="4592"/>
      </w:tblGrid>
      <w:tr>
        <w:trPr>
          <w:cantSplit/>
          <w:tblHeader/>
        </w:trPr>
        <w:tc>
          <w:tcPr>
            <w:tcW w:type="dxa" w:w="4592"/>
            <w:shd w:val="clear" w:color="auto" w:fill="D9E2F3"/>
          </w:tcPr>
          <w:p>
            <w:r>
              <w:rPr>
                <w:b/>
              </w:rPr>
              <w:t>Role</w:t>
            </w:r>
          </w:p>
        </w:tc>
        <w:tc>
          <w:tcPr>
            <w:tcW w:type="dxa" w:w="4592"/>
            <w:shd w:val="clear" w:color="auto" w:fill="D9E2F3"/>
          </w:tcPr>
          <w:p>
            <w:r>
              <w:rPr>
                <w:b/>
              </w:rPr>
              <w:t>Member and responsibility</w:t>
            </w:r>
          </w:p>
        </w:tc>
      </w:tr>
      <w:tr>
        <w:trPr>
          <w:cantSplit/>
        </w:trPr>
        <w:tc>
          <w:tcPr>
            <w:tcW w:type="dxa" w:w="4592"/>
          </w:tcPr>
          <w:p>
            <w:r>
              <w:rPr>
                <w:rFonts w:ascii="Times New Roman" w:hAnsi="Times New Roman" w:eastAsia="SimSun"/>
                <w:b w:val="0"/>
                <w:sz w:val="19"/>
              </w:rPr>
              <w:t>Project coordinator</w:t>
            </w:r>
          </w:p>
        </w:tc>
        <w:tc>
          <w:tcPr>
            <w:tcW w:type="dxa" w:w="4592"/>
          </w:tcPr>
          <w:p>
            <w:r>
              <w:rPr>
                <w:rFonts w:ascii="Times New Roman" w:hAnsi="Times New Roman" w:eastAsia="SimSun"/>
                <w:b w:val="0"/>
                <w:sz w:val="19"/>
              </w:rPr>
              <w:t>Liu Haixiang — schedules the check-ins and owns the final submission checklist.</w:t>
            </w:r>
          </w:p>
        </w:tc>
      </w:tr>
      <w:tr>
        <w:trPr>
          <w:cantSplit/>
        </w:trPr>
        <w:tc>
          <w:tcPr>
            <w:tcW w:type="dxa" w:w="4592"/>
          </w:tcPr>
          <w:p>
            <w:r>
              <w:rPr>
                <w:rFonts w:ascii="Times New Roman" w:hAnsi="Times New Roman" w:eastAsia="SimSun"/>
                <w:b w:val="0"/>
                <w:sz w:val="19"/>
              </w:rPr>
              <w:t>Project scribe</w:t>
            </w:r>
          </w:p>
        </w:tc>
        <w:tc>
          <w:tcPr>
            <w:tcW w:type="dxa" w:w="4592"/>
          </w:tcPr>
          <w:p>
            <w:r>
              <w:rPr>
                <w:rFonts w:ascii="Times New Roman" w:hAnsi="Times New Roman" w:eastAsia="SimSun"/>
                <w:b w:val="0"/>
                <w:sz w:val="19"/>
              </w:rPr>
              <w:t>Chan Ka Wai — keeps the decision log and the data dictionary.</w:t>
            </w:r>
          </w:p>
        </w:tc>
      </w:tr>
      <w:tr>
        <w:trPr>
          <w:cantSplit/>
        </w:trPr>
        <w:tc>
          <w:tcPr>
            <w:tcW w:type="dxa" w:w="4592"/>
          </w:tcPr>
          <w:p>
            <w:r>
              <w:rPr>
                <w:rFonts w:ascii="Times New Roman" w:hAnsi="Times New Roman" w:eastAsia="SimSun"/>
                <w:b w:val="0"/>
                <w:sz w:val="19"/>
              </w:rPr>
              <w:t>Progress tracker</w:t>
            </w:r>
          </w:p>
        </w:tc>
        <w:tc>
          <w:tcPr>
            <w:tcW w:type="dxa" w:w="4592"/>
          </w:tcPr>
          <w:p>
            <w:r>
              <w:rPr>
                <w:rFonts w:ascii="Times New Roman" w:hAnsi="Times New Roman" w:eastAsia="SimSun"/>
                <w:b w:val="0"/>
                <w:sz w:val="19"/>
              </w:rPr>
              <w:t>Chan Ka Wai — maintains the task board and flags slips more than two days.</w:t>
            </w:r>
          </w:p>
        </w:tc>
      </w:tr>
      <w:tr>
        <w:trPr>
          <w:cantSplit/>
        </w:trPr>
        <w:tc>
          <w:tcPr>
            <w:tcW w:type="dxa" w:w="4592"/>
          </w:tcPr>
          <w:p>
            <w:r>
              <w:rPr>
                <w:rFonts w:ascii="Times New Roman" w:hAnsi="Times New Roman" w:eastAsia="SimSun"/>
                <w:b w:val="0"/>
                <w:sz w:val="19"/>
              </w:rPr>
              <w:t>Liaison</w:t>
            </w:r>
          </w:p>
        </w:tc>
        <w:tc>
          <w:tcPr>
            <w:tcW w:type="dxa" w:w="4592"/>
          </w:tcPr>
          <w:p>
            <w:r>
              <w:rPr>
                <w:rFonts w:ascii="Times New Roman" w:hAnsi="Times New Roman" w:eastAsia="SimSun"/>
                <w:b w:val="0"/>
                <w:sz w:val="19"/>
              </w:rPr>
              <w:t>Liu Haixiang — communicates with the instructor and the TA on scope questions.</w:t>
            </w:r>
          </w:p>
        </w:tc>
      </w:tr>
    </w:tbl>
    <w:sectPr w:rsidR="00FC693F" w:rsidRPr="0006063C" w:rsidSect="00034616">
      <w:footerReference w:type="default" r:id="rId9"/>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b w:val="0"/>
        <w:color w:val="555555"/>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