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THE DISEASE PREDICTION REPORT</w:t>
      </w:r>
    </w:p>
    <w:p>
      <w:pPr>
        <w:spacing w:before="360"/>
      </w:pPr>
      <w:r>
        <w:rPr>
          <w:rFonts w:ascii="Cambria" w:hAnsi="Cambria"/>
          <w:b/>
          <w:sz w:val="24"/>
        </w:rPr>
        <w:t>Signs and Symptoms</w:t>
      </w:r>
    </w:p>
    <w:p>
      <w:pPr>
        <w:pStyle w:val="ListBullet"/>
      </w:pPr>
      <w:r>
        <w:rPr>
          <w:rFonts w:ascii="Cambria" w:hAnsi="Cambria"/>
          <w:sz w:val="24"/>
        </w:rPr>
        <w:t>Visual Disturbances</w:t>
      </w:r>
    </w:p>
    <w:p>
      <w:pPr>
        <w:pStyle w:val="ListBullet"/>
      </w:pPr>
      <w:r>
        <w:rPr>
          <w:rFonts w:ascii="Cambria" w:hAnsi="Cambria"/>
          <w:sz w:val="24"/>
        </w:rPr>
        <w:t>Vomiting</w:t>
      </w:r>
    </w:p>
    <w:p>
      <w:pPr>
        <w:spacing w:before="360" w:after="260"/>
      </w:pPr>
      <w:r>
        <w:rPr>
          <w:rFonts w:ascii="Cambria" w:hAnsi="Cambria"/>
          <w:b/>
          <w:sz w:val="24"/>
        </w:rPr>
        <w:t>Possible Predictions</w:t>
      </w:r>
    </w:p>
    <w:tbl>
      <w:tblPr>
        <w:tblStyle w:val="LightShading-Accent5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80"/>
        </w:trP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Prediction</w:t>
            </w:r>
          </w:p>
        </w:tc>
      </w:tr>
      <w:tr>
        <w:trPr>
          <w:trHeight w:val="480"/>
        </w:trPr>
        <w:tc>
          <w:tcPr>
            <w:tcW w:type="dxa" w:w="4320"/>
          </w:tcPr>
          <w:p>
            <w:r>
              <w:t>SVC</w:t>
            </w:r>
          </w:p>
        </w:tc>
        <w:tc>
          <w:tcPr>
            <w:tcW w:type="dxa" w:w="4320"/>
          </w:tcPr>
          <w:p>
            <w:r>
              <w:t>Paralysis (brain hemorrhage)</w:t>
            </w:r>
          </w:p>
        </w:tc>
      </w:tr>
      <w:tr>
        <w:trPr>
          <w:trHeight w:val="480"/>
        </w:trPr>
        <w:tc>
          <w:tcPr>
            <w:tcW w:type="dxa" w:w="4320"/>
          </w:tcPr>
          <w:p>
            <w:r>
              <w:t>Gaussian Naive Bayes</w:t>
            </w:r>
          </w:p>
        </w:tc>
        <w:tc>
          <w:tcPr>
            <w:tcW w:type="dxa" w:w="4320"/>
          </w:tcPr>
          <w:p>
            <w:r>
              <w:t>Gastroenteritis</w:t>
            </w:r>
          </w:p>
        </w:tc>
      </w:tr>
      <w:tr>
        <w:trPr>
          <w:trHeight w:val="480"/>
        </w:trPr>
        <w:tc>
          <w:tcPr>
            <w:tcW w:type="dxa" w:w="4320"/>
          </w:tcPr>
          <w:p>
            <w:r>
              <w:t>Random Forest Classifier</w:t>
            </w:r>
          </w:p>
        </w:tc>
        <w:tc>
          <w:tcPr>
            <w:tcW w:type="dxa" w:w="4320"/>
          </w:tcPr>
          <w:p>
            <w:r>
              <w:t>Migraine</w:t>
            </w:r>
          </w:p>
        </w:tc>
      </w:tr>
    </w:tbl>
    <w:p>
      <w:pPr>
        <w:spacing w:before="480"/>
      </w:pPr>
      <w:r>
        <w:rPr>
          <w:rFonts w:ascii="Cambria" w:hAnsi="Cambria"/>
          <w:b/>
          <w:sz w:val="24"/>
        </w:rPr>
        <w:t>Final Prediction</w:t>
      </w:r>
    </w:p>
    <w:p>
      <w:pPr>
        <w:pStyle w:val="ListBullet"/>
      </w:pPr>
      <w:r>
        <w:rPr>
          <w:rFonts w:ascii="Cambria" w:hAnsi="Cambria"/>
          <w:color w:val="0000FF"/>
          <w:sz w:val="24"/>
        </w:rPr>
        <w:t>Migraine</w:t>
      </w:r>
    </w:p>
    <w:p>
      <w:pPr>
        <w:spacing w:before="500"/>
      </w:pPr>
      <w:r>
        <w:rPr>
          <w:rFonts w:ascii="Cambria" w:hAnsi="Cambria"/>
          <w:b/>
          <w:sz w:val="24"/>
        </w:rPr>
        <w:t>Disclaimer</w:t>
      </w:r>
    </w:p>
    <w:p>
      <w:r>
        <w:rPr>
          <w:rFonts w:ascii="Cambria" w:hAnsi="Cambria"/>
          <w:sz w:val="22"/>
        </w:rPr>
        <w:t>This report is generated by a tool powered by artificial intelligence. The information given is not a replacement for human expertise and should always be used in conjunction with clinical judgement. Eden inc., is not responsible for any misuse of this tool.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