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 / JGB(10-year)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第3週 2025/07 week3 ( 07/14 - 07/18 )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39,529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545,722,674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41,257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1,728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569,478,382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23,755,708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80,786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26.6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1,115,201,056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112,063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▲1,674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1,546,912,828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▲23,003,137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110,389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1,523,909,691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222,452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3,070,822,519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151,592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2,092,635,502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151,646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2,093,388,073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752,571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303,238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4,186,023,575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4,147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57,237,915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5,385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1,238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74,326,631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17,088,716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9,532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131,564,546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13,840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▲34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13,806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27,646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107,892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▲2,904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1,489,342,850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▲39,980,788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104,988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95.1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1,449,362,062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212,880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2,938,704,912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318,223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▲111,031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207,192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525,415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4,278,386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1,302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17,978,988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13,700,602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1,612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22,257,374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3,837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52,959,529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3.4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4,083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56,347,643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3,388,114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7,920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109,307,172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1,712,933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406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7,316,544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5,603,611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9,029,477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5,768,138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▲647,147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5,120,991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10,889,129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2,847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▲338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39,291,056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▲4,664,700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2,509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34,626,356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5,356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73,917,412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6,187,402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673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9,283,752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3,096,350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1,121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15,471,154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(長期国債先物（現金決済型ミニ） / mini-10-year JGB Futures（Cash-Settled))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第3週 2025/07 week3 ( 07/14 - 07/18 )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8,658,805,000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8,713,862,500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55,057,500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1,258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17,372,667,500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8,658,805,000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8,713,862,500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55,057,500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1,258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17,372,667,500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13,794,000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▲13,794,000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13,794,000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620,789,000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▲593,196,000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27,593,000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0.3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648,382,000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8,024,222,000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629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99.7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8,686,269,500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99.7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662,047,500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1,210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16,710,491,500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13,794,000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▲13,794,000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13,794,000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(超長期国債先物（ミニ） / mini-20-year JGB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第3週 2025/07 week3 ( 07/14 - 07/18 )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2,944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3,139,048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▲1,075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2,943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3,137,973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5,887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6,277,021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1,074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1,074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1,074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2,944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3,139,048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2,944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3,139,048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5,888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6,278,096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1,074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1,074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(TONA3か月金利先物 / 3-Month TONA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2025年07月 第3週 2025/07 week3 ( 07/14 - 07/18 )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9,934,250,000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▲7,750,000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9,926,500,000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19,860,750,000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13,384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▲1,080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332,585,718,125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▲26,856,765,625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12,304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305,728,952,500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25,688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638,314,670,625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13,784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▲1,080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342,519,968,125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▲26,864,515,625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12,704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315,655,452,500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26,488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658,175,420,625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13,384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▲1,080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332,585,718,125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▲26,856,765,625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12,304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305,728,952,500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25,688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638,314,670,625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