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《天道》：大城市的本质价值与个人成长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这篇文章以《天道》人物命运和现实案例为依托，核心阐述了</w:t>
      </w:r>
      <w:r>
        <w:rPr>
          <w:rFonts w:eastAsia="等线" w:ascii="Arial" w:cs="Arial" w:hAnsi="Arial"/>
          <w:b w:val="true"/>
          <w:sz w:val="22"/>
        </w:rPr>
        <w:t>留在大城市的本质价值——并非单纯追求表面生活，而是借助其独特的环境、资源与生态，倒逼自我成长、链接优质人脉、实现自我掌控，最终获得更多人生可能性</w:t>
      </w:r>
      <w:r>
        <w:rPr>
          <w:rFonts w:eastAsia="等线" w:ascii="Arial" w:cs="Arial" w:hAnsi="Arial"/>
          <w:sz w:val="22"/>
        </w:rPr>
        <w:t>，具体结合案例总结如下：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一、大城市的竞争环境：倒逼你优秀，链接优质人脉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大城市的核心优势之一，是用无形的压力推动人迭代成长，同时聚集高价值人群，让优质人脉的连接成为可能。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肖亚文的逆袭：警官大学毕业后，她放弃小城体制内的安稳，选择北漂成为“沪漂”。即便初期收入大多用于房租和生计，她仍坚持留在北京——正是这片土壤让她有机会凭借德语优势成为丁元英的助理，近距离学习丁元英的思维方式，实现认知升维。私募基金解散后，她深知“人脉需要维系”，不惜花费2万多元飞赴德国，委托芮小丹照顾丁元英，以此保持与这位“大佬”的连接。最终，当格律诗陷入天价官司时，她凭借积累的能力和人脉，接下烂摊子并打赢官司，从打工人逆袭为公司大股东，彻底改变阶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豆的人生转折：原著作者豆豆本是高中毕业的石油工人，若长期待在小地方，大概率会按部就班度过一生。但工作机会让她在大城市结识了大佬李红英，对方打开了她的认知天窗，让她深入研究佛理与商业逻辑，最终写出启迪人心的商战三部曲，实现财富自由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丁元英的资源积累：丁元英考上清华后，又留学德国柏林，正是北京、柏林这样的大城市提供了优质教育资源和视野。他在德国结识了詹妮、韩楚风等优质人脉，这些人后来成为他私募基金的担保人，而私募基金的运作本身也依赖大城市的金融资源和市场环境——若没有大城市的平台，他很难整合资源、实现“股市提款机”的成就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大城市就像“竞技场”，不努力就会被淘汰，这种压力会倒逼你深耕能力；而高价值人群的聚集，又让“对等连接”成为可能——只有你足够优秀，才能被优质人脉看见，而大城市恰恰提供了这种“被看见”的土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二、大城市的包容与资源：支持你做自己，追求理想生活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大城市的包容性能打破世俗偏见，其丰富的资源能为个人理想提供支撑，让“按自己的意愿生活”成为现实，这是小地方难以比拟的。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丁元英的自我实现：丁元英出身普通家庭，却凭借高考走进清华，再到德国留学——正是大城市（北京）和国际都市（柏林）的资源，让他有机会钻研经济、研究强势文化，抓住市场经济初期的机遇成立私募基金，短短时间赚得3000万人民币（500多万马克）。他解散基金的选择、“杀富济贫”的布局，本质上是基于财富自由后的自我掌控，而这份自由的基础，正是大城市赋予的认知、资源和机会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地方与大城市的文化属性差异：小地方的文化属性偏向“等靠要”，认知视野狭窄，容易被主流观念绑架（比如“踏实稳定才是好”），缺乏互惠共赢的利他思维；而大城市的文化属性强调“凭实力说话”，丁元英能成为“强势文化践行者”，核心是环境赋予他的开阔视野——他能看到股票市场的规律，能整合国际资源，这些都是小地方无法提供的条件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的亲身经历：作者放弃工厂流水线的生活，选择去深圳打拼。在深圳“快节奏、拼实力”的氛围影响下，他自考深圳大学本科学历，成功从制造业转行新媒体运营。他坦言，若留在小地方，大概率会被困在重复劳动中，而大城市的资源（教育、行业机会）让他找到热爱的事，实现了职业跃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三、大城市的多元生态：筛选同频者，提供更多机会与退路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大城市的生态多样性，既能筛选出志同道合的奋斗者，又能提供丰富的机会和兜底的退路，让人生有更多“试错空间”。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同频伙伴，营造奋斗氛围：深圳的地铁里，人们跑着赶车；周末的深圳图书馆，一大早便人满为患——这种“变态的勤奋”是大城市的常态，也自然筛选出了同样不甘平庸的人。在这里，你不用面对“努力被嘲笑”的尴尬，反而能被周围人感染，更加笃定地追求目标，正如知乎网友所说：“见过世界的好，才知道自己值得一切美好，从而心无旁骛地努力。”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更多生存与发展机会：据美团研究院数据，2022-2024年，女骑手数量从51.7万暴涨至70.1万，增幅35.6%，其中85%已婚、96.6%已有孩子。对这些女性而言，大城市的外卖行业虽辛苦，却提供了维持生计的实际机会——而在小县城，中年失业的女性、宝妈群体往往很难找到工作，只能沦为全职主妇，彻底脱离职场。此外，大城市的行业多样性（新媒体、金融、科技等），也让跨界转行、二次创业成为可能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破世俗偏见，包容“不一样的人生”：在小地方，“30岁不结婚是怪物”“结了婚拼事业是异类”“没房没车是失败”；但在大城市，你可以选择不婚、可以专注事业、可以延迟买房，每个人的生活方式都能被包容。这种自由，让你不必活在他人的定义里，能够真正“做自己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核心结论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城市的价值，本质是“环境对人的塑造”和“条件对人的支撑”。它像《流动的盛宴》中的巴黎，不仅提供优质的基础设施和配套服务，更用竞争倒逼成长、用资源支撑理想、用包容接纳多元、用人脉放大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不甘心平庸的人来说，大城市不是“必选项”，却是“最优解”——它赋予你强势文化的底色，让你摆脱小地方的认知局限和“等靠要”的思维，凭借实力掌控人生；它让你见过更广阔的世界后，明确自己的追求；它让优质人脉、稀缺机会成为“努力后的必然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正如《天道》所传递的“文化属性决定命运”，大城市的文化属性，正是成就狠人、实现人生跃迁的核心土壤——伟大的城市，终将成就不甘平庸的人。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05154">
    <w:lvl>
      <w:numFmt w:val="bullet"/>
      <w:suff w:val="tab"/>
      <w:lvlText w:val="•"/>
      <w:rPr>
        <w:color w:val="3370ff"/>
      </w:rPr>
    </w:lvl>
  </w:abstractNum>
  <w:abstractNum w:abstractNumId="3405155">
    <w:lvl>
      <w:numFmt w:val="bullet"/>
      <w:suff w:val="tab"/>
      <w:lvlText w:val="•"/>
      <w:rPr>
        <w:color w:val="3370ff"/>
      </w:rPr>
    </w:lvl>
  </w:abstractNum>
  <w:abstractNum w:abstractNumId="3405156">
    <w:lvl>
      <w:numFmt w:val="bullet"/>
      <w:suff w:val="tab"/>
      <w:lvlText w:val="•"/>
      <w:rPr>
        <w:color w:val="3370ff"/>
      </w:rPr>
    </w:lvl>
  </w:abstractNum>
  <w:abstractNum w:abstractNumId="3405157">
    <w:lvl>
      <w:numFmt w:val="bullet"/>
      <w:suff w:val="tab"/>
      <w:lvlText w:val="•"/>
      <w:rPr>
        <w:color w:val="3370ff"/>
      </w:rPr>
    </w:lvl>
  </w:abstractNum>
  <w:abstractNum w:abstractNumId="3405158">
    <w:lvl>
      <w:numFmt w:val="bullet"/>
      <w:suff w:val="tab"/>
      <w:lvlText w:val="•"/>
      <w:rPr>
        <w:color w:val="3370ff"/>
      </w:rPr>
    </w:lvl>
  </w:abstractNum>
  <w:abstractNum w:abstractNumId="3405159">
    <w:lvl>
      <w:numFmt w:val="bullet"/>
      <w:suff w:val="tab"/>
      <w:lvlText w:val="•"/>
      <w:rPr>
        <w:color w:val="3370ff"/>
      </w:rPr>
    </w:lvl>
  </w:abstractNum>
  <w:abstractNum w:abstractNumId="3405160">
    <w:lvl>
      <w:numFmt w:val="bullet"/>
      <w:suff w:val="tab"/>
      <w:lvlText w:val="•"/>
      <w:rPr>
        <w:color w:val="3370ff"/>
      </w:rPr>
    </w:lvl>
  </w:abstractNum>
  <w:abstractNum w:abstractNumId="3405161">
    <w:lvl>
      <w:numFmt w:val="bullet"/>
      <w:suff w:val="tab"/>
      <w:lvlText w:val="•"/>
      <w:rPr>
        <w:color w:val="3370ff"/>
      </w:rPr>
    </w:lvl>
  </w:abstractNum>
  <w:abstractNum w:abstractNumId="3405162">
    <w:lvl>
      <w:numFmt w:val="bullet"/>
      <w:suff w:val="tab"/>
      <w:lvlText w:val="•"/>
      <w:rPr>
        <w:color w:val="3370ff"/>
      </w:rPr>
    </w:lvl>
  </w:abstractNum>
  <w:abstractNum w:abstractNumId="3405163">
    <w:lvl>
      <w:numFmt w:val="bullet"/>
      <w:suff w:val="tab"/>
      <w:lvlText w:val="•"/>
      <w:rPr>
        <w:color w:val="3370ff"/>
      </w:rPr>
    </w:lvl>
  </w:abstractNum>
  <w:num w:numId="1">
    <w:abstractNumId w:val="3405154"/>
  </w:num>
  <w:num w:numId="2">
    <w:abstractNumId w:val="3405155"/>
  </w:num>
  <w:num w:numId="3">
    <w:abstractNumId w:val="3405156"/>
  </w:num>
  <w:num w:numId="4">
    <w:abstractNumId w:val="3405157"/>
  </w:num>
  <w:num w:numId="5">
    <w:abstractNumId w:val="3405158"/>
  </w:num>
  <w:num w:numId="6">
    <w:abstractNumId w:val="3405159"/>
  </w:num>
  <w:num w:numId="7">
    <w:abstractNumId w:val="3405160"/>
  </w:num>
  <w:num w:numId="8">
    <w:abstractNumId w:val="3405161"/>
  </w:num>
  <w:num w:numId="9">
    <w:abstractNumId w:val="3405162"/>
  </w:num>
  <w:num w:numId="10">
    <w:abstractNumId w:val="34051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2026-01-17T20:50:35Z</dcterms:created>
  <dc:creator>Apache POI</dc:creator>
</cp:coreProperties>
</file>