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e0cc2cc7-c6ce-4d1d-ba97-a4859debf8ef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以智识人，向善而生——学习鬼谷子识人智慧的心得分享</w:t>
      </w:r>
      <w:bookmarkEnd w:id="1001"/>
    </w:p>
    <w:p>
      <w:pPr>
        <w:pStyle w:val="抬头或称呼"/>
        <w:pageBreakBefore w:val="off"/>
        <w:tabs/>
        <w:wordWrap w:val="on"/>
        <w:spacing w:before="0" w:after="0" w:line="240" w:lineRule="auto"/>
        <w:ind w:left="0" w:right="0"/>
        <w:jc w:val="left"/>
        <w:textAlignment w:val="auto"/>
        <w:rPr>
          <w:sz w:val="32"/>
        </w:rPr>
      </w:pPr>
      <w:bookmarkStart w:name="25a00f6f-2b1d-4990-849c-8949be3e6360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>尊敬的老师、同学们：</w:t>
      </w:r>
      <w:bookmarkEnd w:id="100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5b19f42-6fe8-42aa-9f3b-c589d25591e6" w:id="1003"/>
      <w:r>
        <w:rPr>
          <w:rFonts w:ascii="宋体" w:hAnsi="宋体" w:cs="宋体" w:eastAsia="宋体"/>
          <w:sz w:val="32"/>
          <w:spacing w:val="0"/>
          <w:b w:val="off"/>
          <w:i w:val="off"/>
        </w:rPr>
        <w:t>大家好！今天，我结合学习鬼谷子识人智慧“读心术”的感悟，与大家分享如何修炼一双慧眼，在复杂人际中既守住本心，又成为有锋芒、不被害的善良人。这套方法体系博大精深，核心可概括为四大板块：</w:t>
      </w:r>
      <w:bookmarkEnd w:id="1003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567cca7b-188a-4d8d-9ba7-5557ab9745dd" w:id="1004"/>
      <w:r>
        <w:rPr>
          <w:rFonts w:ascii="黑体" w:hAnsi="黑体" w:cs="黑体" w:eastAsia="黑体"/>
          <w:sz w:val="36"/>
          <w:spacing w:val="0"/>
          <w:b w:val="on"/>
          <w:i w:val="off"/>
        </w:rPr>
        <w:t>一、读心术的底层核心原理：情变于内，形见于外</w:t>
      </w:r>
      <w:r>
        <w:rPr>
          <w:rFonts w:ascii="黑体" w:hAnsi="黑体" w:cs="黑体" w:eastAsia="黑体"/>
          <w:sz w:val="36"/>
          <w:spacing w:val="0"/>
          <w:b w:val="on"/>
          <w:i w:val="off"/>
        </w:rPr>
        <w:t/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5fd5f76-d059-480e-9ea3-f38fdf5e560f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>鬼谷子有言：“情变于内者，形见于外。”这揭示识人的根本逻辑——人的内心情绪与想法，必然通过微表情、肢体语言、言行举止等外在形式流露。正如水面涟漪映射水下暗流，人的外在表现是内心的真实投影。读心的本质，便是“以其见者，而知其隐者”，通过观察可见的细节，推断隐藏的真实想法。这让我深刻意识到：识人无需神机妙算，只需敏锐捕捉那些不经意流露的信号。</w:t>
      </w:r>
      <w:bookmarkEnd w:id="1005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dadf940a-92d2-4dca-9bc0-1fead5133128" w:id="1006"/>
      <w:r>
        <w:rPr>
          <w:rFonts w:ascii="黑体" w:hAnsi="黑体" w:cs="黑体" w:eastAsia="黑体"/>
          <w:sz w:val="36"/>
          <w:spacing w:val="0"/>
          <w:b w:val="on"/>
          <w:i w:val="off"/>
        </w:rPr>
        <w:t>二、三大核心读心实操方法：拨开迷雾，直抵本心</w:t>
      </w:r>
      <w:bookmarkEnd w:id="1006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情绪观察法：极端情绪见真章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鬼谷子“揣情术”告诉我们，人在大喜、大怒、恐惧时最易暴露本性。得意忘形时的傲慢，愤怒失控时的真实立场，惊慌失措时的躲闪，皆是内心的镜子。例如，小组合作中，有人因一点小成就便夸夸其谈，往往修养不足；遭遇挫折时推卸责任，可见其担当缺失。我们可顺势引导对方情绪，使其本心自然显露。</w:t>
      </w:r>
      <w:bookmarkEnd w:id="1007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言行辨析法：言辞细节藏玄机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口者，心之门户。”言辞的逻辑、节奏、内容皆暗藏密码。说话无逻辑却滔滔不绝者，多因自卑而心虚；言语浮夸者，常是一知半解；反复解释同一件事，大概率在掩饰真相；轻易承诺却屡屡失信者，更需警惕。例如，班级竞选时，那些言之无物却激情澎湃的承诺，往往经不起现实考验。</w:t>
      </w:r>
      <w:bookmarkEnd w:id="1008"/>
    </w:p>
    <w:p>
      <w:pPr>
        <w:pStyle w:val="正文 文本"/>
        <w:pageBreakBefore w:val="off"/>
        <w:numPr>
          <w:ilvl w:val="0"/>
          <w:numId w:val="1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09"/>
      <w:r>
        <w:rPr>
          <w:rFonts w:ascii="宋体" w:hAnsi="宋体" w:cs="宋体" w:eastAsia="宋体"/>
          <w:sz w:val="32"/>
          <w:spacing w:val="0"/>
          <w:b w:val="off"/>
          <w:i w:val="off"/>
        </w:rPr>
        <w:t>试探验证法（摩意术）：主动破局，验明真身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面对城府深沉者，需主动创造情境。问计谋以观学识，告祸难以测胆识，托以钱财试廉洁，撩之以情看涵养……正如古法“醉酒看本性”，在特定情境下，人的伪装更易瓦解。例如，在团队任务中，故意设置资源分配难题，可清晰看出成员的格局与底线。</w:t>
      </w:r>
      <w:bookmarkEnd w:id="1009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4da5d32c-7d85-4def-b288-79d593baec1d" w:id="1010"/>
      <w:r>
        <w:rPr>
          <w:rFonts w:ascii="黑体" w:hAnsi="黑体" w:cs="黑体" w:eastAsia="黑体"/>
          <w:sz w:val="36"/>
          <w:spacing w:val="0"/>
          <w:b w:val="on"/>
          <w:i w:val="off"/>
        </w:rPr>
        <w:t>三、进阶识人工具：鬼谷子识人九计——多维透视，洞若观火</w:t>
      </w:r>
      <w:r>
        <w:rPr>
          <w:rFonts w:ascii="黑体" w:hAnsi="黑体" w:cs="黑体" w:eastAsia="黑体"/>
          <w:sz w:val="36"/>
          <w:spacing w:val="0"/>
          <w:b w:val="on"/>
          <w:i w:val="off"/>
        </w:rPr>
        <w:t/>
      </w:r>
      <w:bookmarkEnd w:id="101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ae13a0d-b443-4e56-8cc9-f343b1be7465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>鬼谷子识人九计——察言、穷言、观诚、用财、色诱、试胆、醉酒、反怒、察气，构成一套精密的识人系统。这九计从应变能力、学识格局、品性修养、自控力等多维度切入，如九把利刃，剖开表象直抵本质。例如“察气计”通过观察人的精神气质预判其行事风格，让我们在初识时便能建立初步判断。</w:t>
      </w:r>
      <w:bookmarkEnd w:id="1011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da8b837b-bbff-4fe3-8bd9-11281017f31a" w:id="1012"/>
      <w:r>
        <w:rPr>
          <w:rFonts w:ascii="黑体" w:hAnsi="黑体" w:cs="黑体" w:eastAsia="黑体"/>
          <w:sz w:val="36"/>
          <w:spacing w:val="0"/>
          <w:b w:val="on"/>
          <w:i w:val="off"/>
        </w:rPr>
        <w:t>四、读心术的终极心法：顺应人性，守己成事</w:t>
      </w:r>
      <w:r>
        <w:rPr>
          <w:rFonts w:ascii="黑体" w:hAnsi="黑体" w:cs="黑体" w:eastAsia="黑体"/>
          <w:sz w:val="36"/>
          <w:spacing w:val="0"/>
          <w:b w:val="on"/>
          <w:i w:val="off"/>
        </w:rPr>
        <w:t/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4214a53-ab53-4867-b45b-7d22408589b5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须谨记，看穿人心绝非为算计他人，而是为了“顺应人性，守己成事”。人性趋利避害，沟通时需贴合对方关切，以利害驱动决策；这套智慧的本质，是为人处世的护身铠甲——分清值得深交之人，做到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“不害人，亦不被人害；怀赤诚之心，立有芒之身”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。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92dd83d-f670-49df-81ec-f1a81f7e1b97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>同学们，鬼谷子的识人智慧，教会我们如何在纷繁世界中保持清醒与善良。愿我们都能修炼一双慧眼，以智识人，以善立世，成为既有锋芒、又有温度的明白人！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0c65933-3be3-41fb-a143-f82e8ebc10df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>我的分享到此结束，感谢大家！</w:t>
      </w:r>
      <w:bookmarkEnd w:id="1015"/>
    </w:p>
    <w:p>
      <w:pPr>
        <w:pStyle w:val="落款或署名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6df4362c-f7dc-44c1-b81b-bb6dd0d7083f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>署名：XXX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/>
      </w:r>
      <w:bookmarkEnd w:id="1016"/>
    </w:p>
    <w:p>
      <w:pPr>
        <w:pStyle w:val="日期或时间"/>
        <w:pageBreakBefore w:val="off"/>
        <w:tabs/>
        <w:wordWrap w:val="on"/>
        <w:spacing w:before="0" w:after="0" w:line="560" w:lineRule="exact"/>
        <w:ind w:left="0" w:right="0"/>
        <w:jc w:val="right"/>
        <w:textAlignment w:val="auto"/>
        <w:rPr>
          <w:sz w:val="32"/>
        </w:rPr>
      </w:pPr>
      <w:bookmarkStart w:name="31961990-685e-486e-8779-3616b1288b00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日期：202X年X月X日</w:t>
      </w:r>
      <w:bookmarkEnd w:id="101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cfdb071-3e6f-41fb-9424-19414e6b1fed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>特点说明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</w:t>
      </w:r>
      <w:bookmarkEnd w:id="1018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>文稿结构清晰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：采用标题式框架，分板块阐述，逻辑递进，适合演讲或展示。</w:t>
      </w:r>
      <w:bookmarkEnd w:id="1019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>语言凝练有力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：结合古文原句与现代案例，增强说服力与实用性。</w:t>
      </w:r>
      <w:bookmarkEnd w:id="1020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>学生视角融入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：以校园场景（如小组合作、班级竞选）为例，贴近学生实际。</w:t>
      </w:r>
      <w:bookmarkEnd w:id="1021"/>
    </w:p>
    <w:p>
      <w:pPr>
        <w:pStyle w:val="正文 文本"/>
        <w:pageBreakBefore w:val="off"/>
        <w:numPr>
          <w:ilvl w:val="0"/>
          <w:numId w:val="2"/>
        </w:numPr>
        <w:tabs/>
        <w:wordWrap w:val="on"/>
        <w:spacing w:before="0" w:after="0" w:line="560" w:lineRule="exact"/>
        <w:ind w:hanging="440" w:left="440" w:right="0" w:firstLine="640"/>
        <w:jc w:val="both"/>
        <w:textAlignment w:val="auto"/>
        <w:rPr>
          <w:sz w:val="32"/>
        </w:rPr>
      </w:pPr>
      <w:bookmarkStart w:name="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>结尾升华立意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：强调“向善而生”的核心，呼应“有锋芒的善良人”主题。</w:t>
      </w:r>
      <w:bookmarkEnd w:id="102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942a090-2b1a-4f68-b444-e9e6b250c29b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>可根据具体使用场景调整称呼与案例细节。</w:t>
      </w:r>
      <w:bookmarkEnd w:id="1023"/>
    </w:p>
    <w:sectPr>
      <w:footerReference r:id="rId5"/>
      <w:headerReference r:id="rId6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抬头或称呼">
    <w:name w:val="抬头或称呼"/>
    <w:aliases w:val="抬头或称呼"/>
    <w:uiPriority w:val="1"/>
    <w:qFormat/>
    <w:pPr>
      <w:spacing w:lineRule="auto" w:line="240"/>
      <w:ind w:left="0" w:right="0"/>
      <w:jc w:val="left"/>
    </w:pPr>
    <w:rPr>
      <w:rFonts w:eastAsia="宋体" w:ascii="宋体"/>
      <w:sz w:val="32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  <w:style w:type="paragraph" w:styleId="落款或署名">
    <w:name w:val="落款或署名"/>
    <w:aliases w:val="落款或署名"/>
    <w:uiPriority w:val="1"/>
    <w:qFormat/>
    <w:pPr>
      <w:spacing w:lineRule="exact" w:line="560"/>
      <w:ind w:left="0" w:right="0"/>
      <w:jc w:val="right"/>
    </w:pPr>
    <w:rPr>
      <w:rFonts w:eastAsia="宋体" w:ascii="宋体"/>
      <w:sz w:val="32"/>
    </w:rPr>
  </w:style>
  <w:style w:type="paragraph" w:styleId="日期或时间">
    <w:name w:val="日期或时间"/>
    <w:aliases w:val="日期或时间"/>
    <w:uiPriority w:val="1"/>
    <w:qFormat/>
    <w:pPr>
      <w:spacing w:lineRule="exact" w:line="560"/>
      <w:ind w:left="0" w:right="0"/>
      <w:jc w:val="right"/>
    </w:pPr>
    <w:rPr>
      <w:rFonts w:eastAsia="宋体" w:ascii="宋体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styles.xml" Type="http://schemas.openxmlformats.org/officeDocument/2006/relationships/styles"/><Relationship Id="rId5" Target="footer1.xml" Type="http://schemas.openxmlformats.org/officeDocument/2006/relationships/footer"/><Relationship Id="rId6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2026-02-15T04:23:19Z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dtxGCoHj2Jqfg1wP1E0So6SxXtThcD/3rrlkNycs/Hc=","ProduceID":"doc_sgs:3d3a25e5-8967-4eec-90c4-2c68eabbba9e","ReservedCode2":"dtxGCoHj2Jqfg1wP1E0So6SxXtThcD/3rrlkNycs/Hc=","PropagateID":"doc_sgs:3d3a25e5-8967-4eec-90c4-2c68eabbba9e","ContentProducer":"001191440101MA9Y9T4H7A00000"}</vt:lpwstr>
  </property>
</Properties>
</file>