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t>以下是对您提供的文本的中文翻译：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理解，我已将您提供的文章内容整合成一份结构清晰的知识文档，便于您保存和查阅。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t>这份资料汲取了鬼谷子的智慧，将“布局”（排兵布阵）的方法拆解为10个精要步骤。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知识库资料：布局之术（基于鬼谷子智慧）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t>参考资料来源：文章《鬼谷子智慧：布局之道》（2026年）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原文链接：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https://mp.weixin.qq.com/s/jpEBusec2m2_iOxCVi-N-g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🎯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t>布局不仅是简单的计划，而是构建一张战略“棋盘”。本文将这门艺术系统化为10条法则，对应10个汉字（先、准、串、级、余、藏、衔、活、锁、收），帮助将分散的行动转化为稳固的力量体系。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📝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10大布局法则详解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t>想要谋划布局——必须“先”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灵感来源：《持枢篇》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原则：先谋后动（思考在先，行动在后）。</w:t>
      </w:r>
      <w:bookmarkEnd w:id="1012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内容：行动前绘制“作战地图”，避免盲目试错。</w:t>
      </w:r>
      <w:bookmarkEnd w:id="1013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应用：如旅行前先看地图。若不明确路线和可能结果，容易偏离方向，浪费时间精力。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t>想要落子精准——必须“准”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灵感来源：《飞箝篇》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原则：精准打击要害点。</w:t>
      </w:r>
      <w:bookmarkEnd w:id="1017"/>
    </w:p>
    <w:p>
      <w:pPr>
        <w:pageBreakBefore w:val="off"/>
        <w:numPr>
          <w:ilvl w:val="2"/>
          <w:numId w:val="5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内容：竞争中需抢占关键位置以掌控全局（如围棋中的“天元”）。</w:t>
      </w:r>
      <w:bookmarkEnd w:id="1018"/>
    </w:p>
    <w:p>
      <w:pPr>
        <w:pageBreakBefore w:val="off"/>
        <w:numPr>
          <w:ilvl w:val="2"/>
          <w:numId w:val="5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应用：工作中找到带动全局的支点。例如优先搞定核心客户，其他客户更易跟进。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t>想要串联全局——必须“串”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灵感来源：《内楗篇》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原则：连点成线，织线成网。</w:t>
      </w:r>
      <w:bookmarkEnd w:id="1022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内容：将零散行动系统化联结。</w:t>
      </w:r>
      <w:bookmarkEnd w:id="1023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应用：如串珍珠成项链。组织活动时，宣传、报名、执行各环节无缝衔接，形成合力提升整体效率。</w:t>
      </w:r>
      <w:bookmarkEnd w:id="102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t>想要分层推进——必须“级”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灵感来源：《符言篇》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原则：分级递进，循序渐进。</w:t>
      </w:r>
      <w:bookmarkEnd w:id="1027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内容：按难度/重要性分解任务，避免混乱。</w:t>
      </w:r>
      <w:bookmarkEnd w:id="1028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应用：如整理房间：先打包不常用物品，再处理日用品，最后贵重物品。分阶段进行使工作有序不慌乱。</w:t>
      </w:r>
      <w:bookmarkEnd w:id="102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t>想要留有余地——必须“余”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灵感来源：《本经阴符》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原则：预留弹性空间（保留缓冲地带）。</w:t>
      </w:r>
      <w:bookmarkEnd w:id="1032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内容：不耗尽资源或时间，以防突发变故。</w:t>
      </w:r>
      <w:bookmarkEnd w:id="1033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应用：做饭多备一些以防来客；计划预留时间空档应对急事。保留“冗余空间”让变故来临时更从容。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t>想要隐藏意图——必须“藏”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灵感来源：《捭阖篇》</w:t>
      </w:r>
      <w:bookmarkEnd w:id="103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原则：藏锋于后（隐藏锋芒，保持隐秘）。</w:t>
      </w:r>
      <w:bookmarkEnd w:id="1037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内容：关键布局时隐瞒真实意图，使对手难以察觉。</w:t>
      </w:r>
      <w:bookmarkEnd w:id="1038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应用：如比武时故意示弱引人轻视，关键时刻爆发制胜。重要之事需深藏不露，准备周全后再出手提升成功率。</w:t>
      </w:r>
      <w:bookmarkEnd w:id="103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t>想要动态衔接——必须“衔”</w:t>
      </w:r>
      <w:bookmarkEnd w:id="104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灵感来源：《反应篇》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原则：前后咬合衔接（环节紧密衔接，连贯无断点）。</w:t>
      </w:r>
      <w:bookmarkEnd w:id="1042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内容：各步骤需如齿轮咬合，确保行动流畅不断裂。</w:t>
      </w:r>
      <w:bookmarkEnd w:id="1043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应用：项目执行中，宣传后立即跟进销售，售后再做售后。如同接力赛跑，交接顺畅才能提速。</w:t>
      </w:r>
      <w:bookmarkEnd w:id="104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t>想要应对变化——必须“活”</w:t>
      </w:r>
      <w:bookmarkEnd w:id="104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灵感来源：《忤合篇》</w:t>
      </w:r>
      <w:bookmarkEnd w:id="104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原则：布局灵活应变（棋局需留活眼，随机调整）。</w:t>
      </w:r>
      <w:bookmarkEnd w:id="1047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内容：预设多种分支方案以应对布局中的变数。</w:t>
      </w:r>
      <w:bookmarkEnd w:id="1048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应用：外出带伞，即使无雨也可遮阳；活动备有Plan B。预案充足则变故来临时不慌。</w:t>
      </w:r>
      <w:bookmarkEnd w:id="104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t>想要稳固布局——必须“锁”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灵感来源：《抵巇篇》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原则：锁定关键节点（加固核心枢纽）。</w:t>
      </w:r>
      <w:bookmarkEnd w:id="1052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内容：用资源或规则强化核心环节，防止布局中途崩溃。</w:t>
      </w:r>
      <w:bookmarkEnd w:id="1053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应用：建房先打地基；经营先稳定核心客户群再扩张。锁定关键部分，整体才不易崩塌。</w:t>
      </w:r>
      <w:bookmarkEnd w:id="105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t>想要完成布局——必须“收”</w:t>
      </w:r>
      <w:bookmarkEnd w:id="1055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t>灵感来源：《决篇》</w:t>
      </w:r>
      <w:bookmarkEnd w:id="105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t>原则：收网时机，果断聚合（时机成熟时集中力量收官）。</w:t>
      </w:r>
      <w:bookmarkEnd w:id="1057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t>内容：待时机成熟，聚焦资源完成从“布局”到“收官”的闭环。</w:t>
      </w:r>
      <w:bookmarkEnd w:id="1058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hanging="440" w:left="132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t>应用：如捕鱼，待鱼群聚集再收网；项目冲刺阶段集中人力物力攻克关键点，确保顺利收尾。时机一到果断行动，收割布局成果。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📊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要点速查表（快速参考）</w:t>
      </w:r>
      <w:bookmarkEnd w:id="1060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w="16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序号</w:t>
            </w:r>
            <w:bookmarkEnd w:id="1061"/>
          </w:p>
        </w:tc>
        <w:tc>
          <w:tcPr>
            <w:tcW w:w="16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法则</w:t>
            </w:r>
            <w:bookmarkEnd w:id="1062"/>
          </w:p>
        </w:tc>
        <w:tc>
          <w:tcPr>
            <w:tcW w:w="16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关键字</w:t>
            </w:r>
            <w:bookmarkEnd w:id="1063"/>
          </w:p>
        </w:tc>
        <w:tc>
          <w:tcPr>
            <w:tcW w:w="16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来源篇目</w:t>
            </w:r>
            <w:bookmarkEnd w:id="1064"/>
          </w:p>
        </w:tc>
        <w:tc>
          <w:tcPr>
            <w:tcW w:w="16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核心要义</w:t>
            </w:r>
            <w:bookmarkEnd w:id="106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</w:t>
            </w:r>
            <w:bookmarkEnd w:id="106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谋划</w:t>
            </w:r>
            <w:bookmarkEnd w:id="106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先</w:t>
            </w:r>
            <w:bookmarkEnd w:id="106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《持枢》</w:t>
            </w:r>
            <w:bookmarkEnd w:id="106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行动前充分谋划</w:t>
            </w:r>
            <w:bookmarkEnd w:id="107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</w:t>
            </w:r>
            <w:bookmarkEnd w:id="107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落子</w:t>
            </w:r>
            <w:bookmarkEnd w:id="107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准</w:t>
            </w:r>
            <w:bookmarkEnd w:id="107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《飞箝》</w:t>
            </w:r>
            <w:bookmarkEnd w:id="107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精准打击关键节点</w:t>
            </w:r>
            <w:bookmarkEnd w:id="107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</w:t>
            </w:r>
            <w:bookmarkEnd w:id="107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串联</w:t>
            </w:r>
            <w:bookmarkEnd w:id="107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串</w:t>
            </w:r>
            <w:bookmarkEnd w:id="107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《内楗》</w:t>
            </w:r>
            <w:bookmarkEnd w:id="107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分散点系统化联结</w:t>
            </w:r>
            <w:bookmarkEnd w:id="108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4</w:t>
            </w:r>
            <w:bookmarkEnd w:id="108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分层</w:t>
            </w:r>
            <w:bookmarkEnd w:id="108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级</w:t>
            </w:r>
            <w:bookmarkEnd w:id="108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《符言》</w:t>
            </w:r>
            <w:bookmarkEnd w:id="108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分级递进执行</w:t>
            </w:r>
            <w:bookmarkEnd w:id="108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5</w:t>
            </w:r>
            <w:bookmarkEnd w:id="108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冗余</w:t>
            </w:r>
            <w:bookmarkEnd w:id="108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余</w:t>
            </w:r>
            <w:bookmarkEnd w:id="108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《本经》</w:t>
            </w:r>
            <w:bookmarkEnd w:id="108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预留弹性应对变化</w:t>
            </w:r>
            <w:bookmarkEnd w:id="109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</w:t>
            </w:r>
            <w:bookmarkEnd w:id="109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隐藏</w:t>
            </w:r>
            <w:bookmarkEnd w:id="109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藏</w:t>
            </w:r>
            <w:bookmarkEnd w:id="109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《捭阖》</w:t>
            </w:r>
            <w:bookmarkEnd w:id="109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隐蔽意图待机而动</w:t>
            </w:r>
            <w:bookmarkEnd w:id="109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7</w:t>
            </w:r>
            <w:bookmarkEnd w:id="109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衔接</w:t>
            </w:r>
            <w:bookmarkEnd w:id="109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衔</w:t>
            </w:r>
            <w:bookmarkEnd w:id="109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《反应》</w:t>
            </w:r>
            <w:bookmarkEnd w:id="109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环节无缝衔接</w:t>
            </w:r>
            <w:bookmarkEnd w:id="110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8</w:t>
            </w:r>
            <w:bookmarkEnd w:id="110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灵活</w:t>
            </w:r>
            <w:bookmarkEnd w:id="110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活</w:t>
            </w:r>
            <w:bookmarkEnd w:id="110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《忤合》</w:t>
            </w:r>
            <w:bookmarkEnd w:id="110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预案充足动态调整</w:t>
            </w:r>
            <w:bookmarkEnd w:id="110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9</w:t>
            </w:r>
            <w:bookmarkEnd w:id="110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锁定</w:t>
            </w:r>
            <w:bookmarkEnd w:id="110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锁</w:t>
            </w:r>
            <w:bookmarkEnd w:id="110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《抵巇》</w:t>
            </w:r>
            <w:bookmarkEnd w:id="110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加固核心防崩盘</w:t>
            </w:r>
            <w:bookmarkEnd w:id="111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</w:t>
            </w:r>
            <w:bookmarkEnd w:id="111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收官</w:t>
            </w:r>
            <w:bookmarkEnd w:id="111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收</w:t>
            </w:r>
            <w:bookmarkEnd w:id="111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《决》</w:t>
            </w:r>
            <w:bookmarkEnd w:id="111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时机成熟果断收网</w:t>
            </w:r>
            <w:bookmarkEnd w:id="1115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💡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作者注（结语）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：此为个人视角，仅供参考。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t>您可复制以上内容或保存本页作为查阅资料。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t>翻译说明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t>保留原文结构（标题、符号、分点），确保逻辑清晰；</w:t>
      </w:r>
      <w:bookmarkEnd w:id="111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ff"/>
          <w:i w:val="off"/>
        </w:rPr>
        <w:t>专有名词（如篇目名）采用通行译法，术语结合上下文调整，如“Bố cục”译为“布局”并补充解释；</w:t>
      </w:r>
      <w:bookmarkEnd w:id="112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ff"/>
          <w:i w:val="off"/>
        </w:rPr>
        <w:t>案例翻译兼顾直白与文化对应（如“围棋中的‘天元’”增强中文语境共鸣）；</w:t>
      </w:r>
      <w:bookmarkEnd w:id="112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t>表格采用中文排版符号，保持信息直观性。</w:t>
      </w:r>
      <w:bookmarkEnd w:id="11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ff"/>
          <w:i w:val="off"/>
        </w:rPr>
        <w:t>希望这份翻译对您有帮助！如果需要进一步调整，请随时告知。</w:t>
      </w:r>
      <w:bookmarkEnd w:id="1123"/>
    </w:p>
    <w:sectPr>
      <w:footerReference r:id="rId4"/>
      <w:headerReference r:id="rId5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2026-02-15T11:55:30Z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8veu44i1SvwAe5BM/etQt7Z1UhZ+fSKZqEcRrA5cVxk=","ProduceID":"doc_sgs:672be8cf-95b6-4dd5-8629-3c3e4480170f","ReservedCode2":"8veu44i1SvwAe5BM/etQt7Z1UhZ+fSKZqEcRrA5cVxk=","PropagateID":"doc_sgs:672be8cf-95b6-4dd5-8629-3c3e4480170f","ContentProducer":"001191440101MA9Y9T4H7A00000"}</vt:lpwstr>
  </property>
</Properties>
</file>