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53962A9">
      <w:pPr>
        <w:pStyle w:val="139"/>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SOFTWARE DEVELOPMENT &amp; SERVICE AGREEMENT</w:t>
      </w:r>
      <w:r>
        <w:rPr>
          <w:sz w:val="20"/>
          <w:szCs w:val="20"/>
        </w:rPr>
      </w:r>
    </w:p>
    <w:p w14:paraId="2E5B4278">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Contract Reference:</w:t>
      </w:r>
      <w:r>
        <w:rPr>
          <w:rFonts w:ascii="Times" w:hAnsi="Times" w:eastAsia="Times" w:cs="Times"/>
          <w:color w:val="000000"/>
          <w:sz w:val="20"/>
          <w:szCs w:val="20"/>
        </w:rPr>
        <w:t xml:space="preserve"> SMS-FMS-2026-001 </w:t>
      </w:r>
      <w:r>
        <w:rPr>
          <w:rFonts w:ascii="Times" w:hAnsi="Times" w:eastAsia="Times" w:cs="Times"/>
          <w:b/>
          <w:color w:val="000000"/>
          <w:sz w:val="20"/>
          <w:szCs w:val="20"/>
        </w:rPr>
        <w:t xml:space="preserve">Date:</w:t>
      </w:r>
      <w:r>
        <w:rPr>
          <w:rFonts w:ascii="Times" w:hAnsi="Times" w:eastAsia="Times" w:cs="Times"/>
          <w:color w:val="000000"/>
          <w:sz w:val="20"/>
          <w:szCs w:val="20"/>
        </w:rPr>
        <w:t xml:space="preserve"> June 2026</w:t>
      </w:r>
      <w:r>
        <w:rPr>
          <w:sz w:val="20"/>
          <w:szCs w:val="20"/>
        </w:rPr>
      </w:r>
    </w:p>
    <w:p w14:paraId="293DFDE4">
      <w:pPr>
        <w:pStyle w:val="140"/>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PARTIES</w:t>
      </w:r>
      <w:r>
        <w:rPr>
          <w:sz w:val="20"/>
          <w:szCs w:val="20"/>
        </w:rPr>
      </w:r>
    </w:p>
    <w:p w14:paraId="1D0FF534">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SERVICE PROVIDER</w:t>
      </w:r>
      <w:r>
        <w:rPr>
          <w:rFonts w:ascii="Times" w:hAnsi="Times" w:eastAsia="Times" w:cs="Times"/>
          <w:color w:val="000000"/>
          <w:sz w:val="20"/>
          <w:szCs w:val="20"/>
        </w:rPr>
        <w:t xml:space="preserve"> Thecla </w:t>
      </w:r>
      <w:r>
        <w:rPr>
          <w:rFonts w:ascii="Times" w:hAnsi="Times" w:eastAsia="Times" w:cs="Times"/>
          <w:i/>
          <w:color w:val="000000"/>
          <w:sz w:val="20"/>
          <w:szCs w:val="20"/>
        </w:rPr>
        <w:t xml:space="preserve">(Sole Proprietor — Software Provider)</w:t>
      </w:r>
      <w:r>
        <w:rPr>
          <w:rFonts w:ascii="Times" w:hAnsi="Times" w:eastAsia="Times" w:cs="Times"/>
          <w:color w:val="000000"/>
          <w:sz w:val="20"/>
          <w:szCs w:val="20"/>
        </w:rPr>
        <w:t xml:space="preserve"> Email: </w:t>
      </w:r>
      <w:hyperlink r:id="rId9" w:tooltip="mailto:thecla.myalize@gmail.com" w:history="1">
        <w:r>
          <w:rPr>
            <w:rStyle w:val="187"/>
            <w:rFonts w:ascii="Times" w:hAnsi="Times" w:eastAsia="Times" w:cs="Times"/>
            <w:color w:val="0000ee"/>
            <w:sz w:val="20"/>
            <w:szCs w:val="20"/>
            <w:u w:val="single"/>
          </w:rPr>
          <w:t xml:space="preserve">thecla.myalize@gmail.com</w:t>
        </w:r>
      </w:hyperlink>
      <w:r>
        <w:rPr>
          <w:sz w:val="20"/>
          <w:szCs w:val="20"/>
        </w:rPr>
      </w:r>
      <w:r>
        <w:rPr>
          <w:sz w:val="20"/>
          <w:szCs w:val="20"/>
        </w:rPr>
      </w:r>
    </w:p>
    <w:p w14:paraId="1FA3AE57">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CLIENT</w:t>
      </w:r>
      <w:r>
        <w:rPr>
          <w:rFonts w:ascii="Times" w:hAnsi="Times" w:eastAsia="Times" w:cs="Times"/>
          <w:color w:val="000000"/>
          <w:sz w:val="20"/>
          <w:szCs w:val="20"/>
        </w:rPr>
        <w:t xml:space="preserve"> Mr. Gidion </w:t>
      </w:r>
      <w:r>
        <w:rPr>
          <w:rFonts w:ascii="Times" w:hAnsi="Times" w:eastAsia="Times" w:cs="Times"/>
          <w:i/>
          <w:color w:val="000000"/>
          <w:sz w:val="20"/>
          <w:szCs w:val="20"/>
        </w:rPr>
        <w:t xml:space="preserve">(Director, Style My Space)</w:t>
      </w:r>
      <w:r>
        <w:rPr>
          <w:sz w:val="20"/>
          <w:szCs w:val="20"/>
        </w:rPr>
      </w:r>
    </w:p>
    <w:p w14:paraId="7C3D5EFD">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Together referred to as </w:t>
      </w:r>
      <w:r>
        <w:rPr>
          <w:rFonts w:ascii="Times" w:hAnsi="Times" w:eastAsia="Times" w:cs="Times"/>
          <w:b/>
          <w:color w:val="000000"/>
          <w:sz w:val="20"/>
          <w:szCs w:val="20"/>
        </w:rPr>
        <w:t xml:space="preserve">"the Parties"</w:t>
      </w:r>
      <w:r>
        <w:rPr>
          <w:rFonts w:ascii="Times" w:hAnsi="Times" w:eastAsia="Times" w:cs="Times"/>
          <w:color w:val="000000"/>
          <w:sz w:val="20"/>
          <w:szCs w:val="20"/>
        </w:rPr>
        <w:t xml:space="preserve"> and individually as </w:t>
      </w:r>
      <w:r>
        <w:rPr>
          <w:rFonts w:ascii="Times" w:hAnsi="Times" w:eastAsia="Times" w:cs="Times"/>
          <w:b/>
          <w:color w:val="000000"/>
          <w:sz w:val="20"/>
          <w:szCs w:val="20"/>
        </w:rPr>
        <w:t xml:space="preserve">"the Party"</w:t>
      </w:r>
      <w:r>
        <w:rPr>
          <w:rFonts w:ascii="Times" w:hAnsi="Times" w:eastAsia="Times" w:cs="Times"/>
          <w:color w:val="000000"/>
          <w:sz w:val="20"/>
          <w:szCs w:val="20"/>
        </w:rPr>
        <w:t xml:space="preserve">.</w:t>
      </w:r>
      <w:r>
        <w:rPr>
          <w:sz w:val="20"/>
          <w:szCs w:val="20"/>
        </w:rPr>
      </w:r>
    </w:p>
    <w:p w14:paraId="53B1CC60">
      <w:pPr>
        <w:pStyle w:val="140"/>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RECITALS</w:t>
      </w:r>
      <w:r>
        <w:rPr>
          <w:sz w:val="20"/>
          <w:szCs w:val="20"/>
        </w:rPr>
      </w:r>
    </w:p>
    <w:p w14:paraId="5AB9EEEA">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This Agreement is entered into by and between the Service Provider and the Client for the design, development, deployment, and support of a custom </w:t>
      </w:r>
      <w:r>
        <w:rPr>
          <w:rFonts w:ascii="Times" w:hAnsi="Times" w:eastAsia="Times" w:cs="Times"/>
          <w:b/>
          <w:color w:val="000000"/>
          <w:sz w:val="20"/>
          <w:szCs w:val="20"/>
        </w:rPr>
        <w:t xml:space="preserve">Furniture Management System</w:t>
      </w:r>
      <w:r>
        <w:rPr>
          <w:rFonts w:ascii="Times" w:hAnsi="Times" w:eastAsia="Times" w:cs="Times"/>
          <w:color w:val="000000"/>
          <w:sz w:val="20"/>
          <w:szCs w:val="20"/>
        </w:rPr>
        <w:t xml:space="preserve"> (hereinafter referred to as </w:t>
      </w:r>
      <w:r>
        <w:rPr>
          <w:rFonts w:ascii="Times" w:hAnsi="Times" w:eastAsia="Times" w:cs="Times"/>
          <w:b/>
          <w:color w:val="000000"/>
          <w:sz w:val="20"/>
          <w:szCs w:val="20"/>
        </w:rPr>
        <w:t xml:space="preserve">"the System"</w:t>
      </w:r>
      <w:r>
        <w:rPr>
          <w:rFonts w:ascii="Times" w:hAnsi="Times" w:eastAsia="Times" w:cs="Times"/>
          <w:color w:val="000000"/>
          <w:sz w:val="20"/>
          <w:szCs w:val="20"/>
        </w:rPr>
        <w:t xml:space="preserve">) tailored to the operational needs of Style My Space.</w:t>
      </w:r>
      <w:r>
        <w:rPr>
          <w:sz w:val="20"/>
          <w:szCs w:val="20"/>
        </w:rPr>
      </w:r>
    </w:p>
    <w:p w14:paraId="251B7358">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The Parties agree to the terms and conditions set out in this document. By signing below, both Parties confirm they have read, understood, and agreed to all clauses herein.</w:t>
      </w:r>
      <w:r>
        <w:rPr>
          <w:sz w:val="20"/>
          <w:szCs w:val="20"/>
        </w:rPr>
      </w:r>
    </w:p>
    <w:p w14:paraId="56F66052">
      <w:pPr>
        <w:pStyle w:val="140"/>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SECTION 1 — SCOPE OF WORK</w:t>
      </w:r>
      <w:r>
        <w:rPr>
          <w:sz w:val="20"/>
          <w:szCs w:val="20"/>
        </w:rPr>
      </w:r>
    </w:p>
    <w:p w14:paraId="0ED28BFA">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Summary:</w:t>
      </w:r>
      <w:r>
        <w:rPr>
          <w:rFonts w:ascii="Times" w:hAnsi="Times" w:eastAsia="Times" w:cs="Times"/>
          <w:color w:val="000000"/>
          <w:sz w:val="20"/>
          <w:szCs w:val="20"/>
        </w:rPr>
        <w:t xml:space="preserve"> This section defines exactly what the Service Provider will build for the Client — the complete Furniture Management System including all modules, portals, and features agreed during requirement discussions.</w:t>
      </w:r>
      <w:r>
        <w:rPr>
          <w:sz w:val="20"/>
          <w:szCs w:val="20"/>
        </w:rPr>
      </w:r>
    </w:p>
    <w:p w14:paraId="1EA1DB8D">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Client Benefit:</w:t>
      </w:r>
      <w:r>
        <w:rPr>
          <w:rFonts w:ascii="Times" w:hAnsi="Times" w:eastAsia="Times" w:cs="Times"/>
          <w:color w:val="000000"/>
          <w:sz w:val="20"/>
          <w:szCs w:val="20"/>
        </w:rPr>
        <w:t xml:space="preserve"> The Client receives a fully custom system built specifically for Style My Space's operations — not a generic off-the-shelf product. Every feature has been designed around the business's actual workflows.</w:t>
      </w:r>
      <w:r>
        <w:rPr>
          <w:sz w:val="20"/>
          <w:szCs w:val="20"/>
        </w:rPr>
      </w:r>
    </w:p>
    <w:p w14:paraId="25C5C46B">
      <w:pPr>
        <w:pStyle w:val="141"/>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1.1 System Description</w:t>
      </w:r>
      <w:r>
        <w:rPr>
          <w:sz w:val="20"/>
          <w:szCs w:val="20"/>
        </w:rPr>
      </w:r>
    </w:p>
    <w:p w14:paraId="7ABB6583">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The Service Provider shall design, develop, test, and deploy a web-based Furniture Management System covering the following modules:</w:t>
      </w:r>
      <w:r>
        <w:rPr>
          <w:sz w:val="20"/>
          <w:szCs w:val="20"/>
        </w:rPr>
      </w:r>
    </w:p>
    <w:p w14:paraId="6AC1C36B">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Module 1 — Order Management (Front Desk Portal)</w:t>
      </w:r>
      <w:r>
        <w:rPr>
          <w:rFonts w:ascii="Times" w:hAnsi="Times" w:eastAsia="Times" w:cs="Times"/>
          <w:color w:val="000000"/>
          <w:sz w:val="20"/>
          <w:szCs w:val="20"/>
        </w:rPr>
        <w:t xml:space="preserve"> Each branch front desk can create and manage custom furniture orders, including customer details, reference images, pricing, and delivery timelines. Order status is tracked live across the system.</w:t>
      </w:r>
      <w:r>
        <w:rPr>
          <w:sz w:val="20"/>
          <w:szCs w:val="20"/>
        </w:rPr>
      </w:r>
    </w:p>
    <w:p w14:paraId="4BC207B7">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Module 2 — Price Approval (Director Portal)</w:t>
      </w:r>
      <w:r>
        <w:rPr>
          <w:rFonts w:ascii="Times" w:hAnsi="Times" w:eastAsia="Times" w:cs="Times"/>
          <w:color w:val="000000"/>
          <w:sz w:val="20"/>
          <w:szCs w:val="20"/>
        </w:rPr>
        <w:t xml:space="preserve"> The Director receives flagged orders for price confirmation. Reference images are visible digitally, enabling price decisions without requiring physical presence. Confirmed prices are released to Operations automatically.</w:t>
      </w:r>
      <w:r>
        <w:rPr>
          <w:sz w:val="20"/>
          <w:szCs w:val="20"/>
        </w:rPr>
      </w:r>
    </w:p>
    <w:p w14:paraId="2258AB06">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Module 3 — Operations Management (Ops Manager Portal)</w:t>
      </w:r>
      <w:r>
        <w:rPr>
          <w:rFonts w:ascii="Times" w:hAnsi="Times" w:eastAsia="Times" w:cs="Times"/>
          <w:color w:val="000000"/>
          <w:sz w:val="20"/>
          <w:szCs w:val="20"/>
        </w:rPr>
        <w:t xml:space="preserve"> The Operations Manager assigns production stages, assigns named head technicians to each stage, estimates materials per stage, monitors the full production pipeline, and approves material requests from technicians.</w:t>
      </w:r>
      <w:r>
        <w:rPr>
          <w:sz w:val="20"/>
          <w:szCs w:val="20"/>
        </w:rPr>
      </w:r>
    </w:p>
    <w:p w14:paraId="68B04E02">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Module 4 — Workshop: Head Technician Portal (Mobile)</w:t>
      </w:r>
      <w:r>
        <w:rPr>
          <w:rFonts w:ascii="Times" w:hAnsi="Times" w:eastAsia="Times" w:cs="Times"/>
          <w:color w:val="000000"/>
          <w:sz w:val="20"/>
          <w:szCs w:val="20"/>
        </w:rPr>
        <w:t xml:space="preserve"> Head technicians access their work queue via a browser-based phone portal (no app required) using Name + PIN authentication. They receive SMS notifications when an order is coming (PENDING state) and again when their specific stage becomes active (ACTIVE </w:t>
      </w:r>
      <w:r>
        <w:rPr>
          <w:rFonts w:ascii="Times" w:hAnsi="Times" w:eastAsia="Times" w:cs="Times"/>
          <w:color w:val="000000"/>
          <w:sz w:val="20"/>
          <w:szCs w:val="20"/>
        </w:rPr>
        <w:t xml:space="preserve">state). They mark stages DONE and can request additional materials.</w:t>
      </w:r>
      <w:r>
        <w:rPr>
          <w:sz w:val="20"/>
          <w:szCs w:val="20"/>
        </w:rPr>
      </w:r>
    </w:p>
    <w:p w14:paraId="51913A36">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Module 5 — Stock Management (Stock Keeper Portal)</w:t>
      </w:r>
      <w:r>
        <w:rPr>
          <w:rFonts w:ascii="Times" w:hAnsi="Times" w:eastAsia="Times" w:cs="Times"/>
          <w:color w:val="000000"/>
          <w:sz w:val="20"/>
          <w:szCs w:val="20"/>
        </w:rPr>
        <w:t xml:space="preserve"> The Stock Keeper manages the materials inventory, issues initial materials per ops allocation, and processes approved additional material requests. All issuances are recorded and deducted from live inventory.</w:t>
      </w:r>
      <w:r>
        <w:rPr>
          <w:sz w:val="20"/>
          <w:szCs w:val="20"/>
        </w:rPr>
      </w:r>
    </w:p>
    <w:p w14:paraId="5DA487C9">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Module 6 — Reporting &amp; Visibility</w:t>
      </w:r>
      <w:r>
        <w:rPr>
          <w:rFonts w:ascii="Times" w:hAnsi="Times" w:eastAsia="Times" w:cs="Times"/>
          <w:color w:val="000000"/>
          <w:sz w:val="20"/>
          <w:szCs w:val="20"/>
        </w:rPr>
        <w:t xml:space="preserve"> The Director has full visibility of all cost breakdowns (materials + labour vs customer price = margin), weekly payroll summaries per technician, and system-wide reporting. Each role sees only what is relevant to their function.</w:t>
      </w:r>
      <w:r>
        <w:rPr>
          <w:sz w:val="20"/>
          <w:szCs w:val="20"/>
        </w:rPr>
      </w:r>
    </w:p>
    <w:p w14:paraId="469D8295">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Module 7 — Shop / Showroom Management (Multi-Branch)</w:t>
      </w:r>
      <w:r>
        <w:rPr>
          <w:rFonts w:ascii="Times" w:hAnsi="Times" w:eastAsia="Times" w:cs="Times"/>
          <w:color w:val="000000"/>
          <w:sz w:val="20"/>
          <w:szCs w:val="20"/>
        </w:rPr>
        <w:t xml:space="preserve"> Ready-made furniture pieces are entered into the system using a standardised SKU naming convention. Sets are managed with full component tracking. Only the Director may authorise a set to be broken for partial sales. Each branch has its own isolated inven</w:t>
      </w:r>
      <w:r>
        <w:rPr>
          <w:rFonts w:ascii="Times" w:hAnsi="Times" w:eastAsia="Times" w:cs="Times"/>
          <w:color w:val="000000"/>
          <w:sz w:val="20"/>
          <w:szCs w:val="20"/>
        </w:rPr>
        <w:t xml:space="preserve">tory view. Inter-branch transfers require Director approval. Custom orders from any branch route to the central workshop.</w:t>
      </w:r>
      <w:r>
        <w:rPr>
          <w:sz w:val="20"/>
          <w:szCs w:val="20"/>
        </w:rPr>
      </w:r>
    </w:p>
    <w:p w14:paraId="7EE652CB">
      <w:pPr>
        <w:pStyle w:val="141"/>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1.2 Technology Stack</w:t>
      </w:r>
      <w:r>
        <w:rPr>
          <w:sz w:val="20"/>
          <w:szCs w:val="20"/>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80"/>
        <w:gridCol w:w="5345"/>
      </w:tblGrid>
      <w:tr>
        <w:trPr/>
        <w:tc>
          <w:tcPr>
            <w:tcBorders/>
            <w:tcMar>
              <w:left w:w="15" w:type="dxa"/>
              <w:top w:w="15" w:type="dxa"/>
              <w:right w:w="15" w:type="dxa"/>
              <w:bottom w:w="15" w:type="dxa"/>
            </w:tcMar>
            <w:tcW w:w="1780" w:type="dxa"/>
            <w:vAlign w:val="center"/>
          </w:tcPr>
          <w:p w14:paraId="0AC4CCEC">
            <w:pPr>
              <w:pBdr/>
              <w:spacing w:after="0" w:before="0" w:line="240"/>
              <w:ind/>
              <w:jc w:val="center"/>
              <w:rPr>
                <w:sz w:val="20"/>
                <w:szCs w:val="20"/>
              </w:rPr>
            </w:pPr>
            <w:r>
              <w:rPr>
                <w:rFonts w:ascii="Times" w:hAnsi="Times" w:eastAsia="Times" w:cs="Times"/>
                <w:b/>
                <w:color w:val="000000"/>
                <w:sz w:val="20"/>
                <w:szCs w:val="20"/>
              </w:rPr>
              <w:t xml:space="preserve">Layer</w:t>
            </w:r>
            <w:r>
              <w:rPr>
                <w:sz w:val="20"/>
                <w:szCs w:val="20"/>
              </w:rPr>
            </w:r>
          </w:p>
        </w:tc>
        <w:tc>
          <w:tcPr>
            <w:tcBorders/>
            <w:tcMar>
              <w:left w:w="15" w:type="dxa"/>
              <w:top w:w="15" w:type="dxa"/>
              <w:right w:w="15" w:type="dxa"/>
              <w:bottom w:w="15" w:type="dxa"/>
            </w:tcMar>
            <w:tcW w:w="5345" w:type="dxa"/>
            <w:vAlign w:val="center"/>
          </w:tcPr>
          <w:p w14:paraId="0B231900">
            <w:pPr>
              <w:pBdr/>
              <w:spacing w:after="0" w:before="0" w:line="240"/>
              <w:ind/>
              <w:jc w:val="center"/>
              <w:rPr>
                <w:sz w:val="20"/>
                <w:szCs w:val="20"/>
              </w:rPr>
            </w:pPr>
            <w:r>
              <w:rPr>
                <w:rFonts w:ascii="Times" w:hAnsi="Times" w:eastAsia="Times" w:cs="Times"/>
                <w:b/>
                <w:color w:val="000000"/>
                <w:sz w:val="20"/>
                <w:szCs w:val="20"/>
              </w:rPr>
              <w:t xml:space="preserve">Technology</w:t>
            </w:r>
            <w:r>
              <w:rPr>
                <w:sz w:val="20"/>
                <w:szCs w:val="20"/>
              </w:rPr>
            </w:r>
          </w:p>
        </w:tc>
      </w:tr>
      <w:tr>
        <w:trPr/>
        <w:tc>
          <w:tcPr>
            <w:tcBorders/>
            <w:tcMar>
              <w:left w:w="15" w:type="dxa"/>
              <w:top w:w="15" w:type="dxa"/>
              <w:right w:w="15" w:type="dxa"/>
              <w:bottom w:w="15" w:type="dxa"/>
            </w:tcMar>
            <w:tcW w:w="1780" w:type="dxa"/>
            <w:vAlign w:val="center"/>
          </w:tcPr>
          <w:p w14:paraId="2367C814">
            <w:pPr>
              <w:pBdr/>
              <w:spacing w:after="0" w:before="0" w:line="240"/>
              <w:ind/>
              <w:rPr>
                <w:sz w:val="20"/>
                <w:szCs w:val="20"/>
              </w:rPr>
            </w:pPr>
            <w:r>
              <w:rPr>
                <w:rFonts w:ascii="Times" w:hAnsi="Times" w:eastAsia="Times" w:cs="Times"/>
                <w:color w:val="000000"/>
                <w:sz w:val="20"/>
                <w:szCs w:val="20"/>
              </w:rPr>
              <w:t xml:space="preserve">Backend</w:t>
            </w:r>
            <w:r>
              <w:rPr>
                <w:sz w:val="20"/>
                <w:szCs w:val="20"/>
              </w:rPr>
            </w:r>
          </w:p>
        </w:tc>
        <w:tc>
          <w:tcPr>
            <w:tcBorders/>
            <w:tcMar>
              <w:left w:w="15" w:type="dxa"/>
              <w:top w:w="15" w:type="dxa"/>
              <w:right w:w="15" w:type="dxa"/>
              <w:bottom w:w="15" w:type="dxa"/>
            </w:tcMar>
            <w:tcW w:w="5345" w:type="dxa"/>
            <w:vAlign w:val="center"/>
          </w:tcPr>
          <w:p w14:paraId="22DF72F2">
            <w:pPr>
              <w:pBdr/>
              <w:spacing w:after="0" w:before="0" w:line="240"/>
              <w:ind/>
              <w:rPr>
                <w:sz w:val="20"/>
                <w:szCs w:val="20"/>
              </w:rPr>
            </w:pPr>
            <w:r>
              <w:rPr>
                <w:rFonts w:ascii="Times" w:hAnsi="Times" w:eastAsia="Times" w:cs="Times"/>
                <w:color w:val="000000"/>
                <w:sz w:val="20"/>
                <w:szCs w:val="20"/>
              </w:rPr>
              <w:t xml:space="preserve">Django (Python)</w:t>
            </w:r>
            <w:r>
              <w:rPr>
                <w:sz w:val="20"/>
                <w:szCs w:val="20"/>
              </w:rPr>
            </w:r>
          </w:p>
        </w:tc>
      </w:tr>
      <w:tr>
        <w:trPr/>
        <w:tc>
          <w:tcPr>
            <w:tcBorders/>
            <w:tcMar>
              <w:left w:w="15" w:type="dxa"/>
              <w:top w:w="15" w:type="dxa"/>
              <w:right w:w="15" w:type="dxa"/>
              <w:bottom w:w="15" w:type="dxa"/>
            </w:tcMar>
            <w:tcW w:w="1780" w:type="dxa"/>
            <w:vAlign w:val="center"/>
          </w:tcPr>
          <w:p w14:paraId="42704002">
            <w:pPr>
              <w:pBdr/>
              <w:spacing w:after="0" w:before="0" w:line="240"/>
              <w:ind/>
              <w:rPr>
                <w:sz w:val="20"/>
                <w:szCs w:val="20"/>
              </w:rPr>
            </w:pPr>
            <w:r>
              <w:rPr>
                <w:rFonts w:ascii="Times" w:hAnsi="Times" w:eastAsia="Times" w:cs="Times"/>
                <w:color w:val="000000"/>
                <w:sz w:val="20"/>
                <w:szCs w:val="20"/>
              </w:rPr>
              <w:t xml:space="preserve">Frontend</w:t>
            </w:r>
            <w:r>
              <w:rPr>
                <w:sz w:val="20"/>
                <w:szCs w:val="20"/>
              </w:rPr>
            </w:r>
          </w:p>
        </w:tc>
        <w:tc>
          <w:tcPr>
            <w:tcBorders/>
            <w:tcMar>
              <w:left w:w="15" w:type="dxa"/>
              <w:top w:w="15" w:type="dxa"/>
              <w:right w:w="15" w:type="dxa"/>
              <w:bottom w:w="15" w:type="dxa"/>
            </w:tcMar>
            <w:tcW w:w="5345" w:type="dxa"/>
            <w:vAlign w:val="center"/>
          </w:tcPr>
          <w:p w14:paraId="4FD72D64">
            <w:pPr>
              <w:pBdr/>
              <w:spacing w:after="0" w:before="0" w:line="240"/>
              <w:ind/>
              <w:rPr>
                <w:sz w:val="20"/>
                <w:szCs w:val="20"/>
              </w:rPr>
            </w:pPr>
            <w:r>
              <w:rPr>
                <w:rFonts w:ascii="Times" w:hAnsi="Times" w:eastAsia="Times" w:cs="Times"/>
                <w:color w:val="000000"/>
                <w:sz w:val="20"/>
                <w:szCs w:val="20"/>
              </w:rPr>
              <w:t xml:space="preserve">React (JavaScript)</w:t>
            </w:r>
            <w:r>
              <w:rPr>
                <w:sz w:val="20"/>
                <w:szCs w:val="20"/>
              </w:rPr>
            </w:r>
          </w:p>
        </w:tc>
      </w:tr>
      <w:tr>
        <w:trPr/>
        <w:tc>
          <w:tcPr>
            <w:tcBorders/>
            <w:tcMar>
              <w:left w:w="15" w:type="dxa"/>
              <w:top w:w="15" w:type="dxa"/>
              <w:right w:w="15" w:type="dxa"/>
              <w:bottom w:w="15" w:type="dxa"/>
            </w:tcMar>
            <w:tcW w:w="1780" w:type="dxa"/>
            <w:vAlign w:val="center"/>
          </w:tcPr>
          <w:p w14:paraId="5723D7A5">
            <w:pPr>
              <w:pBdr/>
              <w:spacing w:after="0" w:before="0" w:line="240"/>
              <w:ind/>
              <w:rPr>
                <w:sz w:val="20"/>
                <w:szCs w:val="20"/>
              </w:rPr>
            </w:pPr>
            <w:r>
              <w:rPr>
                <w:rFonts w:ascii="Times" w:hAnsi="Times" w:eastAsia="Times" w:cs="Times"/>
                <w:color w:val="000000"/>
                <w:sz w:val="20"/>
                <w:szCs w:val="20"/>
              </w:rPr>
              <w:t xml:space="preserve">Server / Hosting</w:t>
            </w:r>
            <w:r>
              <w:rPr>
                <w:sz w:val="20"/>
                <w:szCs w:val="20"/>
              </w:rPr>
            </w:r>
          </w:p>
        </w:tc>
        <w:tc>
          <w:tcPr>
            <w:tcBorders/>
            <w:tcMar>
              <w:left w:w="15" w:type="dxa"/>
              <w:top w:w="15" w:type="dxa"/>
              <w:right w:w="15" w:type="dxa"/>
              <w:bottom w:w="15" w:type="dxa"/>
            </w:tcMar>
            <w:tcW w:w="5345" w:type="dxa"/>
            <w:vAlign w:val="center"/>
          </w:tcPr>
          <w:p w14:paraId="7FD2CCA6">
            <w:pPr>
              <w:pBdr/>
              <w:spacing w:after="0" w:before="0" w:line="240"/>
              <w:ind/>
              <w:rPr>
                <w:sz w:val="20"/>
                <w:szCs w:val="20"/>
              </w:rPr>
            </w:pPr>
            <w:r>
              <w:rPr>
                <w:rFonts w:ascii="Times" w:hAnsi="Times" w:eastAsia="Times" w:cs="Times"/>
                <w:color w:val="000000"/>
                <w:sz w:val="20"/>
                <w:szCs w:val="20"/>
              </w:rPr>
              <w:t xml:space="preserve">Contabo</w:t>
            </w:r>
            <w:r>
              <w:rPr>
                <w:sz w:val="20"/>
                <w:szCs w:val="20"/>
              </w:rPr>
            </w:r>
          </w:p>
        </w:tc>
      </w:tr>
      <w:tr>
        <w:trPr/>
        <w:tc>
          <w:tcPr>
            <w:tcBorders/>
            <w:tcMar>
              <w:left w:w="15" w:type="dxa"/>
              <w:top w:w="15" w:type="dxa"/>
              <w:right w:w="15" w:type="dxa"/>
              <w:bottom w:w="15" w:type="dxa"/>
            </w:tcMar>
            <w:tcW w:w="1780" w:type="dxa"/>
            <w:vAlign w:val="center"/>
          </w:tcPr>
          <w:p w14:paraId="0B4F0112">
            <w:pPr>
              <w:pBdr/>
              <w:spacing w:after="0" w:before="0" w:line="240"/>
              <w:ind/>
              <w:rPr>
                <w:sz w:val="20"/>
                <w:szCs w:val="20"/>
              </w:rPr>
            </w:pPr>
            <w:r>
              <w:rPr>
                <w:rFonts w:ascii="Times" w:hAnsi="Times" w:eastAsia="Times" w:cs="Times"/>
                <w:color w:val="000000"/>
                <w:sz w:val="20"/>
                <w:szCs w:val="20"/>
              </w:rPr>
              <w:t xml:space="preserve">SMS Notifications</w:t>
            </w:r>
            <w:r>
              <w:rPr>
                <w:sz w:val="20"/>
                <w:szCs w:val="20"/>
              </w:rPr>
            </w:r>
          </w:p>
        </w:tc>
        <w:tc>
          <w:tcPr>
            <w:tcBorders/>
            <w:tcMar>
              <w:left w:w="15" w:type="dxa"/>
              <w:top w:w="15" w:type="dxa"/>
              <w:right w:w="15" w:type="dxa"/>
              <w:bottom w:w="15" w:type="dxa"/>
            </w:tcMar>
            <w:tcW w:w="5345" w:type="dxa"/>
            <w:vAlign w:val="center"/>
          </w:tcPr>
          <w:p w14:paraId="1D1B33F1">
            <w:pPr>
              <w:pBdr/>
              <w:spacing w:after="0" w:before="0" w:line="240"/>
              <w:ind/>
              <w:rPr>
                <w:sz w:val="20"/>
                <w:szCs w:val="20"/>
              </w:rPr>
            </w:pPr>
            <w:r>
              <w:rPr>
                <w:rFonts w:ascii="Times" w:hAnsi="Times" w:eastAsia="Times" w:cs="Times"/>
                <w:color w:val="000000"/>
                <w:sz w:val="20"/>
                <w:szCs w:val="20"/>
              </w:rPr>
              <w:t xml:space="preserve">Third-party SMS gateway (client-funded from day one)</w:t>
            </w:r>
            <w:r>
              <w:rPr>
                <w:sz w:val="20"/>
                <w:szCs w:val="20"/>
              </w:rPr>
            </w:r>
          </w:p>
        </w:tc>
      </w:tr>
    </w:tbl>
    <w:p w14:paraId="68DB9436">
      <w:pPr>
        <w:pStyle w:val="141"/>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1.3 Deliverables</w:t>
      </w:r>
      <w:r>
        <w:rPr>
          <w:sz w:val="20"/>
          <w:szCs w:val="20"/>
        </w:rPr>
      </w:r>
    </w:p>
    <w:p w14:paraId="0B3876FD">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Fully deployed and functional web system on the Contabo server</w:t>
      </w:r>
      <w:r>
        <w:rPr>
          <w:sz w:val="20"/>
          <w:szCs w:val="20"/>
        </w:rPr>
      </w:r>
    </w:p>
    <w:p w14:paraId="035A3FD0">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Role-based portals for all five roles (Front Desk, Director, Ops Manager, Head Technician, Stock Keeper)</w:t>
      </w:r>
      <w:r>
        <w:rPr>
          <w:sz w:val="20"/>
          <w:szCs w:val="20"/>
        </w:rPr>
      </w:r>
    </w:p>
    <w:p w14:paraId="0971FED4">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SMS notification integration</w:t>
      </w:r>
      <w:r>
        <w:rPr>
          <w:sz w:val="20"/>
          <w:szCs w:val="20"/>
        </w:rPr>
      </w:r>
    </w:p>
    <w:p w14:paraId="0F3E3B0A">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Multi-branch support</w:t>
      </w:r>
      <w:r>
        <w:rPr>
          <w:sz w:val="20"/>
          <w:szCs w:val="20"/>
        </w:rPr>
      </w:r>
    </w:p>
    <w:p w14:paraId="4E093C90">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User training (see Section 6)</w:t>
      </w:r>
      <w:r>
        <w:rPr>
          <w:sz w:val="20"/>
          <w:szCs w:val="20"/>
        </w:rPr>
      </w:r>
    </w:p>
    <w:p w14:paraId="6A30C956">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System documentation and quick reference guides</w:t>
      </w:r>
      <w:r>
        <w:rPr>
          <w:sz w:val="20"/>
          <w:szCs w:val="20"/>
        </w:rPr>
      </w:r>
    </w:p>
    <w:p w14:paraId="4DE89AD3">
      <w:pPr>
        <w:pStyle w:val="140"/>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SECTION 2 — PROJECT TIMELINE &amp; SPRINT PLAN</w:t>
      </w:r>
      <w:r>
        <w:rPr>
          <w:sz w:val="20"/>
          <w:szCs w:val="20"/>
        </w:rPr>
      </w:r>
    </w:p>
    <w:p w14:paraId="469F96C2">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Summary:</w:t>
      </w:r>
      <w:r>
        <w:rPr>
          <w:rFonts w:ascii="Times" w:hAnsi="Times" w:eastAsia="Times" w:cs="Times"/>
          <w:color w:val="000000"/>
          <w:sz w:val="20"/>
          <w:szCs w:val="20"/>
        </w:rPr>
        <w:t xml:space="preserve"> The system will be built over 6 weeks in 3 delivery sprints of 2 weeks each, followed by 2 weeks of staff training. Each sprint ends with a working, demonstrable set of features.</w:t>
      </w:r>
      <w:r>
        <w:rPr>
          <w:sz w:val="20"/>
          <w:szCs w:val="20"/>
        </w:rPr>
      </w:r>
    </w:p>
    <w:p w14:paraId="0E84F60B">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Client Benefit:</w:t>
      </w:r>
      <w:r>
        <w:rPr>
          <w:rFonts w:ascii="Times" w:hAnsi="Times" w:eastAsia="Times" w:cs="Times"/>
          <w:color w:val="000000"/>
          <w:sz w:val="20"/>
          <w:szCs w:val="20"/>
        </w:rPr>
        <w:t xml:space="preserve"> The Client sees real, working progress every two weeks — not a black box for two months. Features are tested and reviewed sprint by sprint, reducing risk and giving the Client opportunity to provide feedback at each stage.</w:t>
      </w:r>
      <w:r>
        <w:rPr>
          <w:sz w:val="20"/>
          <w:szCs w:val="20"/>
        </w:rPr>
      </w:r>
    </w:p>
    <w:p w14:paraId="2629C2DC">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Total Duration:</w:t>
      </w:r>
      <w:r>
        <w:rPr>
          <w:rFonts w:ascii="Times" w:hAnsi="Times" w:eastAsia="Times" w:cs="Times"/>
          <w:color w:val="000000"/>
          <w:sz w:val="20"/>
          <w:szCs w:val="20"/>
        </w:rPr>
        <w:t xml:space="preserve"> 8 weeks (6 weeks development + 2 weeks training)</w:t>
      </w:r>
      <w:r>
        <w:rPr>
          <w:sz w:val="20"/>
          <w:szCs w:val="20"/>
        </w:rPr>
      </w:r>
    </w:p>
    <w:p w14:paraId="03DE0B56">
      <w:pPr>
        <w:pStyle w:val="141"/>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SPRINT 1 — Weeks 1 &amp; 2: Foundation, Order Entry &amp; Price Approval</w:t>
      </w:r>
      <w:r>
        <w:rPr>
          <w:sz w:val="20"/>
          <w:szCs w:val="20"/>
        </w:rPr>
      </w:r>
    </w:p>
    <w:p w14:paraId="6DD12B90">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Milestone: Order flow operational end-to-end (Front Desk → Director → Ops)</w:t>
      </w:r>
      <w:r>
        <w:rPr>
          <w:sz w:val="20"/>
          <w:szCs w:val="20"/>
        </w:rPr>
      </w:r>
    </w:p>
    <w:p w14:paraId="7F769F22">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Deliverables in this sprint:</w:t>
      </w:r>
      <w:r>
        <w:rPr>
          <w:sz w:val="20"/>
          <w:szCs w:val="20"/>
        </w:rPr>
      </w:r>
    </w:p>
    <w:p w14:paraId="59F2D2DB">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Full system infrastructure setup: Django backend, React frontend, Contabo server configuration, database schema</w:t>
      </w:r>
      <w:r>
        <w:rPr>
          <w:sz w:val="20"/>
          <w:szCs w:val="20"/>
        </w:rPr>
      </w:r>
    </w:p>
    <w:p w14:paraId="7518CEE2">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Role-based authentication for all 5 roles</w:t>
      </w:r>
      <w:r>
        <w:rPr>
          <w:sz w:val="20"/>
          <w:szCs w:val="20"/>
        </w:rPr>
      </w:r>
    </w:p>
    <w:p w14:paraId="5EE18CE4">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Front Desk portal: Create custom orders, upload reference images, view live order dashboard, mark orders as dispatched (FR-F01 to FR-F05)</w:t>
      </w:r>
      <w:r>
        <w:rPr>
          <w:sz w:val="20"/>
          <w:szCs w:val="20"/>
        </w:rPr>
      </w:r>
    </w:p>
    <w:p w14:paraId="214CE615">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Director portal: View flagged orders and images, confirm/assign price, release to Ops (FR-D01 to FR-D02)</w:t>
      </w:r>
      <w:r>
        <w:rPr>
          <w:sz w:val="20"/>
          <w:szCs w:val="20"/>
        </w:rPr>
      </w:r>
    </w:p>
    <w:p w14:paraId="5B1BB549">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Order handoff automation: order moves from Front Desk to Director to Ops Manager without manual intervention</w:t>
      </w:r>
      <w:r>
        <w:rPr>
          <w:sz w:val="20"/>
          <w:szCs w:val="20"/>
        </w:rPr>
      </w:r>
    </w:p>
    <w:p w14:paraId="6F8AD12B">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Customer expectation at end of Sprint 1:</w:t>
      </w:r>
      <w:r>
        <w:rPr>
          <w:rFonts w:ascii="Times" w:hAnsi="Times" w:eastAsia="Times" w:cs="Times"/>
          <w:color w:val="000000"/>
          <w:sz w:val="20"/>
          <w:szCs w:val="20"/>
        </w:rPr>
        <w:t xml:space="preserve"> A front desk staff member can enter a custom order with images. The Director receives it, approves the price, and the order appears in the Operations Manager's queue.</w:t>
      </w:r>
      <w:r>
        <w:rPr>
          <w:sz w:val="20"/>
          <w:szCs w:val="20"/>
        </w:rPr>
      </w:r>
    </w:p>
    <w:p w14:paraId="0D8D7F72">
      <w:pPr>
        <w:pStyle w:val="141"/>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SPRINT 2 — Weeks 3 &amp; 4: Workshop Execution &amp; Stock Management</w:t>
      </w:r>
      <w:r>
        <w:rPr>
          <w:sz w:val="20"/>
          <w:szCs w:val="20"/>
        </w:rPr>
      </w:r>
    </w:p>
    <w:p w14:paraId="0CEDD8DD">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Milestone: Full workshop pipeline operational — from assignment through stage completion to stock tracking</w:t>
      </w:r>
      <w:r>
        <w:rPr>
          <w:sz w:val="20"/>
          <w:szCs w:val="20"/>
        </w:rPr>
      </w:r>
    </w:p>
    <w:p w14:paraId="75C715E9">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Deliverables in this sprint:</w:t>
      </w:r>
      <w:r>
        <w:rPr>
          <w:sz w:val="20"/>
          <w:szCs w:val="20"/>
        </w:rPr>
      </w:r>
    </w:p>
    <w:p w14:paraId="4721497C">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Operations Manager portal: Full stage assignment, head technician assignment, material estimates per stage, live pipeline dashboard, material request approval workflow (FR-O01 to FR-O07)</w:t>
      </w:r>
      <w:r>
        <w:rPr>
          <w:sz w:val="20"/>
          <w:szCs w:val="20"/>
        </w:rPr>
      </w:r>
    </w:p>
    <w:p w14:paraId="220E9B21">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Head Technician phone portal: PIN authentication, PENDING/ACTIVE stage states, bulk SMS notification on order entry, individual SMS on stage activation, DONE button, material request submission, weekly earnings summary (FR-T01 to FR-T09)</w:t>
      </w:r>
      <w:r>
        <w:rPr>
          <w:sz w:val="20"/>
          <w:szCs w:val="20"/>
        </w:rPr>
      </w:r>
    </w:p>
    <w:p w14:paraId="7FA82D35">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SMS gateway integration: bulk and individual notification flows</w:t>
      </w:r>
      <w:r>
        <w:rPr>
          <w:sz w:val="20"/>
          <w:szCs w:val="20"/>
        </w:rPr>
      </w:r>
    </w:p>
    <w:p w14:paraId="693EB869">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Stock Keeper portal: Inventory ledger management, initial material issuance per ops allocation, additional approved material issuance, live inventory tracking (FR-S01 to FR-S07)</w:t>
      </w:r>
      <w:r>
        <w:rPr>
          <w:sz w:val="20"/>
          <w:szCs w:val="20"/>
        </w:rPr>
      </w:r>
    </w:p>
    <w:p w14:paraId="161F6F01">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Automatic stage chain: when one stage is marked DONE, the next technician's stage activates automatically</w:t>
      </w:r>
      <w:r>
        <w:rPr>
          <w:sz w:val="20"/>
          <w:szCs w:val="20"/>
        </w:rPr>
      </w:r>
    </w:p>
    <w:p w14:paraId="113A6BDC">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Customer expectation at end of Sprint 2:</w:t>
      </w:r>
      <w:r>
        <w:rPr>
          <w:rFonts w:ascii="Times" w:hAnsi="Times" w:eastAsia="Times" w:cs="Times"/>
          <w:color w:val="000000"/>
          <w:sz w:val="20"/>
          <w:szCs w:val="20"/>
        </w:rPr>
        <w:t xml:space="preserve"> An order assigned to the workshop flows through every production stage automatically. Head technicians receive the right messages at the right time. The Stock Keeper issues materials and tracks them against orders.</w:t>
      </w:r>
      <w:r>
        <w:rPr>
          <w:sz w:val="20"/>
          <w:szCs w:val="20"/>
        </w:rPr>
      </w:r>
    </w:p>
    <w:p w14:paraId="648C2AC7">
      <w:pPr>
        <w:pStyle w:val="141"/>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SPRINT 3 — Weeks 5 &amp; 6: Shop Module, Reporting &amp; Full System Completion</w:t>
      </w:r>
      <w:r>
        <w:rPr>
          <w:sz w:val="20"/>
          <w:szCs w:val="20"/>
        </w:rPr>
      </w:r>
    </w:p>
    <w:p w14:paraId="4CE7A672">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Milestone: Complete system live — all modules functional, all roles operational, deployed on Contabo</w:t>
      </w:r>
      <w:r>
        <w:rPr>
          <w:sz w:val="20"/>
          <w:szCs w:val="20"/>
        </w:rPr>
      </w:r>
    </w:p>
    <w:p w14:paraId="75FA38BB">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Deliverables in this sprint:</w:t>
      </w:r>
      <w:r>
        <w:rPr>
          <w:sz w:val="20"/>
          <w:szCs w:val="20"/>
        </w:rPr>
      </w:r>
    </w:p>
    <w:p w14:paraId="19A4EE41">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Shop/Showroom module: SKU naming convention implemented, set and component entry, set status management (Available / Broken / Sold / Reserved / Transferred), Director-only set breaking with partial sale authorisation, remaining item re-pricing, multi-branc</w:t>
      </w:r>
      <w:r>
        <w:rPr>
          <w:rFonts w:ascii="Times" w:hAnsi="Times" w:eastAsia="Times" w:cs="Times"/>
          <w:color w:val="000000"/>
          <w:sz w:val="20"/>
          <w:szCs w:val="20"/>
        </w:rPr>
        <w:t xml:space="preserve">h inventory isolation, inter-branch transfer requests and approvals, shop sale recording (FR-SH01 to FR-SH24)</w:t>
      </w:r>
      <w:r>
        <w:rPr>
          <w:sz w:val="20"/>
          <w:szCs w:val="20"/>
        </w:rPr>
      </w:r>
    </w:p>
    <w:p w14:paraId="114185FA">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Reservation management (deposits held against items)</w:t>
      </w:r>
      <w:r>
        <w:rPr>
          <w:sz w:val="20"/>
          <w:szCs w:val="20"/>
        </w:rPr>
      </w:r>
    </w:p>
    <w:p w14:paraId="09EE6D02">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Director full reporting: per-order cost breakdown, gross margin per order, weekly payroll summary for all technicians (FR-D03 to FR-D04)</w:t>
      </w:r>
      <w:r>
        <w:rPr>
          <w:sz w:val="20"/>
          <w:szCs w:val="20"/>
        </w:rPr>
      </w:r>
    </w:p>
    <w:p w14:paraId="4D0BE5AB">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Full reporting suite: weekly cost reports, shop sales by branch, slow-moving stock alerts (FR-R01 to FR-R05)</w:t>
      </w:r>
      <w:r>
        <w:rPr>
          <w:sz w:val="20"/>
          <w:szCs w:val="20"/>
        </w:rPr>
      </w:r>
    </w:p>
    <w:p w14:paraId="17ACA7A6">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End-to-end system integration testing</w:t>
      </w:r>
      <w:r>
        <w:rPr>
          <w:sz w:val="20"/>
          <w:szCs w:val="20"/>
        </w:rPr>
      </w:r>
    </w:p>
    <w:p w14:paraId="5D95E90E">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Bug resolution and performance optimisation</w:t>
      </w:r>
      <w:r>
        <w:rPr>
          <w:sz w:val="20"/>
          <w:szCs w:val="20"/>
        </w:rPr>
      </w:r>
    </w:p>
    <w:p w14:paraId="66777558">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Final deployment and go-live on Contabo server</w:t>
      </w:r>
      <w:r>
        <w:rPr>
          <w:sz w:val="20"/>
          <w:szCs w:val="20"/>
        </w:rPr>
      </w:r>
    </w:p>
    <w:p w14:paraId="32D31812">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Customer expectation at end of Sprint 3:</w:t>
      </w:r>
      <w:r>
        <w:rPr>
          <w:rFonts w:ascii="Times" w:hAnsi="Times" w:eastAsia="Times" w:cs="Times"/>
          <w:color w:val="000000"/>
          <w:sz w:val="20"/>
          <w:szCs w:val="20"/>
        </w:rPr>
        <w:t xml:space="preserve"> The complete system is live. Every role can log in and perform their function. Shop sales, custom orders, workshop production, and stock management all work together. Reports are accurate.</w:t>
      </w:r>
      <w:r>
        <w:rPr>
          <w:sz w:val="20"/>
          <w:szCs w:val="20"/>
        </w:rPr>
      </w:r>
    </w:p>
    <w:p w14:paraId="7940265B">
      <w:pPr>
        <w:pStyle w:val="141"/>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WEEKS 7 &amp; 8 — Staff Training</w:t>
      </w:r>
      <w:r>
        <w:rPr>
          <w:sz w:val="20"/>
          <w:szCs w:val="20"/>
        </w:rPr>
      </w:r>
    </w:p>
    <w:p w14:paraId="5E21C02B">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Role-specific training sessions delivered to Style My Space staff. Training does not begin until the system is complete and all payments are settled in full.</w:t>
      </w:r>
      <w:r>
        <w:rPr>
          <w:sz w:val="20"/>
          <w:szCs w:val="20"/>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46"/>
        <w:gridCol w:w="6345"/>
      </w:tblGrid>
      <w:tr>
        <w:trPr/>
        <w:tc>
          <w:tcPr>
            <w:tcBorders/>
            <w:tcMar>
              <w:left w:w="15" w:type="dxa"/>
              <w:top w:w="15" w:type="dxa"/>
              <w:right w:w="15" w:type="dxa"/>
              <w:bottom w:w="15" w:type="dxa"/>
            </w:tcMar>
            <w:tcW w:w="2446" w:type="dxa"/>
            <w:vAlign w:val="center"/>
          </w:tcPr>
          <w:p w14:paraId="36458341">
            <w:pPr>
              <w:pBdr/>
              <w:spacing w:after="0" w:before="0" w:line="240"/>
              <w:ind/>
              <w:jc w:val="center"/>
              <w:rPr>
                <w:sz w:val="20"/>
                <w:szCs w:val="20"/>
              </w:rPr>
            </w:pPr>
            <w:r>
              <w:rPr>
                <w:rFonts w:ascii="Times" w:hAnsi="Times" w:eastAsia="Times" w:cs="Times"/>
                <w:b/>
                <w:color w:val="000000"/>
                <w:sz w:val="20"/>
                <w:szCs w:val="20"/>
              </w:rPr>
              <w:t xml:space="preserve">Role</w:t>
            </w:r>
            <w:r>
              <w:rPr>
                <w:sz w:val="20"/>
                <w:szCs w:val="20"/>
              </w:rPr>
            </w:r>
          </w:p>
        </w:tc>
        <w:tc>
          <w:tcPr>
            <w:tcBorders/>
            <w:tcMar>
              <w:left w:w="15" w:type="dxa"/>
              <w:top w:w="15" w:type="dxa"/>
              <w:right w:w="15" w:type="dxa"/>
              <w:bottom w:w="15" w:type="dxa"/>
            </w:tcMar>
            <w:tcW w:w="6345" w:type="dxa"/>
            <w:vAlign w:val="center"/>
          </w:tcPr>
          <w:p w14:paraId="62862BC3">
            <w:pPr>
              <w:pBdr/>
              <w:spacing w:after="0" w:before="0" w:line="240"/>
              <w:ind/>
              <w:jc w:val="center"/>
              <w:rPr>
                <w:sz w:val="20"/>
                <w:szCs w:val="20"/>
              </w:rPr>
            </w:pPr>
            <w:r>
              <w:rPr>
                <w:rFonts w:ascii="Times" w:hAnsi="Times" w:eastAsia="Times" w:cs="Times"/>
                <w:b/>
                <w:color w:val="000000"/>
                <w:sz w:val="20"/>
                <w:szCs w:val="20"/>
              </w:rPr>
              <w:t xml:space="preserve">Training Focus</w:t>
            </w:r>
            <w:r>
              <w:rPr>
                <w:sz w:val="20"/>
                <w:szCs w:val="20"/>
              </w:rPr>
            </w:r>
          </w:p>
        </w:tc>
      </w:tr>
      <w:tr>
        <w:trPr/>
        <w:tc>
          <w:tcPr>
            <w:tcBorders/>
            <w:tcMar>
              <w:left w:w="15" w:type="dxa"/>
              <w:top w:w="15" w:type="dxa"/>
              <w:right w:w="15" w:type="dxa"/>
              <w:bottom w:w="15" w:type="dxa"/>
            </w:tcMar>
            <w:tcW w:w="2446" w:type="dxa"/>
            <w:vAlign w:val="center"/>
          </w:tcPr>
          <w:p w14:paraId="42ACF1C7">
            <w:pPr>
              <w:pBdr/>
              <w:spacing w:after="0" w:before="0" w:line="240"/>
              <w:ind/>
              <w:rPr>
                <w:sz w:val="20"/>
                <w:szCs w:val="20"/>
              </w:rPr>
            </w:pPr>
            <w:r>
              <w:rPr>
                <w:rFonts w:ascii="Times" w:hAnsi="Times" w:eastAsia="Times" w:cs="Times"/>
                <w:color w:val="000000"/>
                <w:sz w:val="20"/>
                <w:szCs w:val="20"/>
              </w:rPr>
              <w:t xml:space="preserve">Front Desk (all branches)</w:t>
            </w:r>
            <w:r>
              <w:rPr>
                <w:sz w:val="20"/>
                <w:szCs w:val="20"/>
              </w:rPr>
            </w:r>
          </w:p>
        </w:tc>
        <w:tc>
          <w:tcPr>
            <w:tcBorders/>
            <w:tcMar>
              <w:left w:w="15" w:type="dxa"/>
              <w:top w:w="15" w:type="dxa"/>
              <w:right w:w="15" w:type="dxa"/>
              <w:bottom w:w="15" w:type="dxa"/>
            </w:tcMar>
            <w:tcW w:w="6345" w:type="dxa"/>
            <w:vAlign w:val="center"/>
          </w:tcPr>
          <w:p w14:paraId="20F671BA">
            <w:pPr>
              <w:pBdr/>
              <w:spacing w:after="0" w:before="0" w:line="240"/>
              <w:ind/>
              <w:rPr>
                <w:sz w:val="20"/>
                <w:szCs w:val="20"/>
              </w:rPr>
            </w:pPr>
            <w:r>
              <w:rPr>
                <w:rFonts w:ascii="Times" w:hAnsi="Times" w:eastAsia="Times" w:cs="Times"/>
                <w:color w:val="000000"/>
                <w:sz w:val="20"/>
                <w:szCs w:val="20"/>
              </w:rPr>
              <w:t xml:space="preserve">Creating orders, shop sales, partial sale requests, reservations</w:t>
            </w:r>
            <w:r>
              <w:rPr>
                <w:sz w:val="20"/>
                <w:szCs w:val="20"/>
              </w:rPr>
            </w:r>
          </w:p>
        </w:tc>
      </w:tr>
      <w:tr>
        <w:trPr/>
        <w:tc>
          <w:tcPr>
            <w:tcBorders/>
            <w:tcMar>
              <w:left w:w="15" w:type="dxa"/>
              <w:top w:w="15" w:type="dxa"/>
              <w:right w:w="15" w:type="dxa"/>
              <w:bottom w:w="15" w:type="dxa"/>
            </w:tcMar>
            <w:tcW w:w="2446" w:type="dxa"/>
            <w:vAlign w:val="center"/>
          </w:tcPr>
          <w:p w14:paraId="04D2A4F2">
            <w:pPr>
              <w:pBdr/>
              <w:spacing w:after="0" w:before="0" w:line="240"/>
              <w:ind/>
              <w:rPr>
                <w:sz w:val="20"/>
                <w:szCs w:val="20"/>
              </w:rPr>
            </w:pPr>
            <w:r>
              <w:rPr>
                <w:rFonts w:ascii="Times" w:hAnsi="Times" w:eastAsia="Times" w:cs="Times"/>
                <w:color w:val="000000"/>
                <w:sz w:val="20"/>
                <w:szCs w:val="20"/>
              </w:rPr>
              <w:t xml:space="preserve">Director / Boss</w:t>
            </w:r>
            <w:r>
              <w:rPr>
                <w:sz w:val="20"/>
                <w:szCs w:val="20"/>
              </w:rPr>
            </w:r>
          </w:p>
        </w:tc>
        <w:tc>
          <w:tcPr>
            <w:tcBorders/>
            <w:tcMar>
              <w:left w:w="15" w:type="dxa"/>
              <w:top w:w="15" w:type="dxa"/>
              <w:right w:w="15" w:type="dxa"/>
              <w:bottom w:w="15" w:type="dxa"/>
            </w:tcMar>
            <w:tcW w:w="6345" w:type="dxa"/>
            <w:vAlign w:val="center"/>
          </w:tcPr>
          <w:p w14:paraId="2C8288D7">
            <w:pPr>
              <w:pBdr/>
              <w:spacing w:after="0" w:before="0" w:line="240"/>
              <w:ind/>
              <w:rPr>
                <w:sz w:val="20"/>
                <w:szCs w:val="20"/>
              </w:rPr>
            </w:pPr>
            <w:r>
              <w:rPr>
                <w:rFonts w:ascii="Times" w:hAnsi="Times" w:eastAsia="Times" w:cs="Times"/>
                <w:color w:val="000000"/>
                <w:sz w:val="20"/>
                <w:szCs w:val="20"/>
              </w:rPr>
              <w:t xml:space="preserve">Price approval, set breaking, reporting dashboard, payroll view</w:t>
            </w:r>
            <w:r>
              <w:rPr>
                <w:sz w:val="20"/>
                <w:szCs w:val="20"/>
              </w:rPr>
            </w:r>
          </w:p>
        </w:tc>
      </w:tr>
      <w:tr>
        <w:trPr/>
        <w:tc>
          <w:tcPr>
            <w:tcBorders/>
            <w:tcMar>
              <w:left w:w="15" w:type="dxa"/>
              <w:top w:w="15" w:type="dxa"/>
              <w:right w:w="15" w:type="dxa"/>
              <w:bottom w:w="15" w:type="dxa"/>
            </w:tcMar>
            <w:tcW w:w="2446" w:type="dxa"/>
            <w:vAlign w:val="center"/>
          </w:tcPr>
          <w:p w14:paraId="2101B21F">
            <w:pPr>
              <w:pBdr/>
              <w:spacing w:after="0" w:before="0" w:line="240"/>
              <w:ind/>
              <w:rPr>
                <w:sz w:val="20"/>
                <w:szCs w:val="20"/>
              </w:rPr>
            </w:pPr>
            <w:r>
              <w:rPr>
                <w:rFonts w:ascii="Times" w:hAnsi="Times" w:eastAsia="Times" w:cs="Times"/>
                <w:color w:val="000000"/>
                <w:sz w:val="20"/>
                <w:szCs w:val="20"/>
              </w:rPr>
              <w:t xml:space="preserve">Operations Manager</w:t>
            </w:r>
            <w:r>
              <w:rPr>
                <w:sz w:val="20"/>
                <w:szCs w:val="20"/>
              </w:rPr>
            </w:r>
          </w:p>
        </w:tc>
        <w:tc>
          <w:tcPr>
            <w:tcBorders/>
            <w:tcMar>
              <w:left w:w="15" w:type="dxa"/>
              <w:top w:w="15" w:type="dxa"/>
              <w:right w:w="15" w:type="dxa"/>
              <w:bottom w:w="15" w:type="dxa"/>
            </w:tcMar>
            <w:tcW w:w="6345" w:type="dxa"/>
            <w:vAlign w:val="center"/>
          </w:tcPr>
          <w:p w14:paraId="74A60564">
            <w:pPr>
              <w:pBdr/>
              <w:spacing w:after="0" w:before="0" w:line="240"/>
              <w:ind/>
              <w:rPr>
                <w:sz w:val="20"/>
                <w:szCs w:val="20"/>
              </w:rPr>
            </w:pPr>
            <w:r>
              <w:rPr>
                <w:rFonts w:ascii="Times" w:hAnsi="Times" w:eastAsia="Times" w:cs="Times"/>
                <w:color w:val="000000"/>
                <w:sz w:val="20"/>
                <w:szCs w:val="20"/>
              </w:rPr>
              <w:t xml:space="preserve">Stage assignment, pipeline monitoring, material request approvals</w:t>
            </w:r>
            <w:r>
              <w:rPr>
                <w:sz w:val="20"/>
                <w:szCs w:val="20"/>
              </w:rPr>
            </w:r>
          </w:p>
        </w:tc>
      </w:tr>
      <w:tr>
        <w:trPr/>
        <w:tc>
          <w:tcPr>
            <w:tcBorders/>
            <w:tcMar>
              <w:left w:w="15" w:type="dxa"/>
              <w:top w:w="15" w:type="dxa"/>
              <w:right w:w="15" w:type="dxa"/>
              <w:bottom w:w="15" w:type="dxa"/>
            </w:tcMar>
            <w:tcW w:w="2446" w:type="dxa"/>
            <w:vAlign w:val="center"/>
          </w:tcPr>
          <w:p w14:paraId="1762B715">
            <w:pPr>
              <w:pBdr/>
              <w:spacing w:after="0" w:before="0" w:line="240"/>
              <w:ind/>
              <w:rPr>
                <w:sz w:val="20"/>
                <w:szCs w:val="20"/>
              </w:rPr>
            </w:pPr>
            <w:r>
              <w:rPr>
                <w:rFonts w:ascii="Times" w:hAnsi="Times" w:eastAsia="Times" w:cs="Times"/>
                <w:color w:val="000000"/>
                <w:sz w:val="20"/>
                <w:szCs w:val="20"/>
              </w:rPr>
              <w:t xml:space="preserve">Head Technicians</w:t>
            </w:r>
            <w:r>
              <w:rPr>
                <w:sz w:val="20"/>
                <w:szCs w:val="20"/>
              </w:rPr>
            </w:r>
          </w:p>
        </w:tc>
        <w:tc>
          <w:tcPr>
            <w:tcBorders/>
            <w:tcMar>
              <w:left w:w="15" w:type="dxa"/>
              <w:top w:w="15" w:type="dxa"/>
              <w:right w:w="15" w:type="dxa"/>
              <w:bottom w:w="15" w:type="dxa"/>
            </w:tcMar>
            <w:tcW w:w="6345" w:type="dxa"/>
            <w:vAlign w:val="center"/>
          </w:tcPr>
          <w:p w14:paraId="5EF88C0E">
            <w:pPr>
              <w:pBdr/>
              <w:spacing w:after="0" w:before="0" w:line="240"/>
              <w:ind/>
              <w:rPr>
                <w:sz w:val="20"/>
                <w:szCs w:val="20"/>
              </w:rPr>
            </w:pPr>
            <w:r>
              <w:rPr>
                <w:rFonts w:ascii="Times" w:hAnsi="Times" w:eastAsia="Times" w:cs="Times"/>
                <w:color w:val="000000"/>
                <w:sz w:val="20"/>
                <w:szCs w:val="20"/>
              </w:rPr>
              <w:t xml:space="preserve">Phone portal login, stage workflow, material requests</w:t>
            </w:r>
            <w:r>
              <w:rPr>
                <w:sz w:val="20"/>
                <w:szCs w:val="20"/>
              </w:rPr>
            </w:r>
          </w:p>
        </w:tc>
      </w:tr>
      <w:tr>
        <w:trPr/>
        <w:tc>
          <w:tcPr>
            <w:tcBorders/>
            <w:tcMar>
              <w:left w:w="15" w:type="dxa"/>
              <w:top w:w="15" w:type="dxa"/>
              <w:right w:w="15" w:type="dxa"/>
              <w:bottom w:w="15" w:type="dxa"/>
            </w:tcMar>
            <w:tcW w:w="2446" w:type="dxa"/>
            <w:vAlign w:val="center"/>
          </w:tcPr>
          <w:p w14:paraId="3C0D230A">
            <w:pPr>
              <w:pBdr/>
              <w:spacing w:after="0" w:before="0" w:line="240"/>
              <w:ind/>
              <w:rPr>
                <w:sz w:val="20"/>
                <w:szCs w:val="20"/>
              </w:rPr>
            </w:pPr>
            <w:r>
              <w:rPr>
                <w:rFonts w:ascii="Times" w:hAnsi="Times" w:eastAsia="Times" w:cs="Times"/>
                <w:color w:val="000000"/>
                <w:sz w:val="20"/>
                <w:szCs w:val="20"/>
              </w:rPr>
              <w:t xml:space="preserve">Stock Keeper</w:t>
            </w:r>
            <w:r>
              <w:rPr>
                <w:sz w:val="20"/>
                <w:szCs w:val="20"/>
              </w:rPr>
            </w:r>
          </w:p>
        </w:tc>
        <w:tc>
          <w:tcPr>
            <w:tcBorders/>
            <w:tcMar>
              <w:left w:w="15" w:type="dxa"/>
              <w:top w:w="15" w:type="dxa"/>
              <w:right w:w="15" w:type="dxa"/>
              <w:bottom w:w="15" w:type="dxa"/>
            </w:tcMar>
            <w:tcW w:w="6345" w:type="dxa"/>
            <w:vAlign w:val="center"/>
          </w:tcPr>
          <w:p w14:paraId="39B21666">
            <w:pPr>
              <w:pBdr/>
              <w:spacing w:after="0" w:before="0" w:line="240"/>
              <w:ind/>
              <w:rPr>
                <w:sz w:val="20"/>
                <w:szCs w:val="20"/>
              </w:rPr>
            </w:pPr>
            <w:r>
              <w:rPr>
                <w:rFonts w:ascii="Times" w:hAnsi="Times" w:eastAsia="Times" w:cs="Times"/>
                <w:color w:val="000000"/>
                <w:sz w:val="20"/>
                <w:szCs w:val="20"/>
              </w:rPr>
              <w:t xml:space="preserve">Inventory management, material issuance, stock tracking</w:t>
            </w:r>
            <w:r>
              <w:rPr>
                <w:sz w:val="20"/>
                <w:szCs w:val="20"/>
              </w:rPr>
            </w:r>
          </w:p>
        </w:tc>
      </w:tr>
    </w:tbl>
    <w:p w14:paraId="0C1C1B06">
      <w:pPr>
        <w:pStyle w:val="140"/>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SECTION 3 — PAYMENT TERMS</w:t>
      </w:r>
      <w:r>
        <w:rPr>
          <w:sz w:val="20"/>
          <w:szCs w:val="20"/>
        </w:rPr>
      </w:r>
    </w:p>
    <w:p w14:paraId="26434327">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Summary:</w:t>
      </w:r>
      <w:r>
        <w:rPr>
          <w:rFonts w:ascii="Times" w:hAnsi="Times" w:eastAsia="Times" w:cs="Times"/>
          <w:color w:val="000000"/>
          <w:sz w:val="20"/>
          <w:szCs w:val="20"/>
        </w:rPr>
        <w:t xml:space="preserve"> Payment totals TZSh 7,500,000. A deposit of 20% is paid upon signing. The remaining balance is paid in three equal instalments at the end of each 2-week development sprint.</w:t>
      </w:r>
      <w:r>
        <w:rPr>
          <w:sz w:val="20"/>
          <w:szCs w:val="20"/>
        </w:rPr>
      </w:r>
    </w:p>
    <w:p w14:paraId="22D0AF11">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Client Benefit:</w:t>
      </w:r>
      <w:r>
        <w:rPr>
          <w:rFonts w:ascii="Times" w:hAnsi="Times" w:eastAsia="Times" w:cs="Times"/>
          <w:color w:val="000000"/>
          <w:sz w:val="20"/>
          <w:szCs w:val="20"/>
        </w:rPr>
        <w:t xml:space="preserve"> The Client only pays for progress delivered. No instalment is due until the features for that sprint are working and demonstrated. This protects the Client's investment at every stage.</w:t>
      </w:r>
      <w:r>
        <w:rPr>
          <w:sz w:val="20"/>
          <w:szCs w:val="20"/>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67"/>
        <w:gridCol w:w="1647"/>
        <w:gridCol w:w="4742"/>
      </w:tblGrid>
      <w:tr>
        <w:trPr/>
        <w:tc>
          <w:tcPr>
            <w:tcBorders/>
            <w:tcMar>
              <w:left w:w="15" w:type="dxa"/>
              <w:top w:w="15" w:type="dxa"/>
              <w:right w:w="15" w:type="dxa"/>
              <w:bottom w:w="15" w:type="dxa"/>
            </w:tcMar>
            <w:tcW w:w="1667" w:type="dxa"/>
            <w:vAlign w:val="center"/>
          </w:tcPr>
          <w:p w14:paraId="0FA1A48A">
            <w:pPr>
              <w:pBdr/>
              <w:spacing w:after="0" w:before="0" w:line="240"/>
              <w:ind/>
              <w:jc w:val="center"/>
              <w:rPr>
                <w:sz w:val="20"/>
                <w:szCs w:val="20"/>
              </w:rPr>
            </w:pPr>
            <w:r>
              <w:rPr>
                <w:rFonts w:ascii="Times" w:hAnsi="Times" w:eastAsia="Times" w:cs="Times"/>
                <w:b/>
                <w:color w:val="000000"/>
                <w:sz w:val="20"/>
                <w:szCs w:val="20"/>
              </w:rPr>
              <w:t xml:space="preserve">Payment</w:t>
            </w:r>
            <w:r>
              <w:rPr>
                <w:sz w:val="20"/>
                <w:szCs w:val="20"/>
              </w:rPr>
            </w:r>
          </w:p>
        </w:tc>
        <w:tc>
          <w:tcPr>
            <w:tcBorders/>
            <w:tcMar>
              <w:left w:w="15" w:type="dxa"/>
              <w:top w:w="15" w:type="dxa"/>
              <w:right w:w="15" w:type="dxa"/>
              <w:bottom w:w="15" w:type="dxa"/>
            </w:tcMar>
            <w:tcW w:w="1647" w:type="dxa"/>
            <w:vAlign w:val="center"/>
          </w:tcPr>
          <w:p w14:paraId="1C3B785D">
            <w:pPr>
              <w:pBdr/>
              <w:spacing w:after="0" w:before="0" w:line="240"/>
              <w:ind/>
              <w:jc w:val="center"/>
              <w:rPr>
                <w:sz w:val="20"/>
                <w:szCs w:val="20"/>
              </w:rPr>
            </w:pPr>
            <w:r>
              <w:rPr>
                <w:rFonts w:ascii="Times" w:hAnsi="Times" w:eastAsia="Times" w:cs="Times"/>
                <w:b/>
                <w:color w:val="000000"/>
                <w:sz w:val="20"/>
                <w:szCs w:val="20"/>
              </w:rPr>
              <w:t xml:space="preserve">Amount (TZSh)</w:t>
            </w:r>
            <w:r>
              <w:rPr>
                <w:sz w:val="20"/>
                <w:szCs w:val="20"/>
              </w:rPr>
            </w:r>
          </w:p>
        </w:tc>
        <w:tc>
          <w:tcPr>
            <w:tcBorders/>
            <w:tcMar>
              <w:left w:w="15" w:type="dxa"/>
              <w:top w:w="15" w:type="dxa"/>
              <w:right w:w="15" w:type="dxa"/>
              <w:bottom w:w="15" w:type="dxa"/>
            </w:tcMar>
            <w:tcW w:w="4742" w:type="dxa"/>
            <w:vAlign w:val="center"/>
          </w:tcPr>
          <w:p w14:paraId="7964B9E0">
            <w:pPr>
              <w:pBdr/>
              <w:spacing w:after="0" w:before="0" w:line="240"/>
              <w:ind/>
              <w:jc w:val="center"/>
              <w:rPr>
                <w:sz w:val="20"/>
                <w:szCs w:val="20"/>
              </w:rPr>
            </w:pPr>
            <w:r>
              <w:rPr>
                <w:rFonts w:ascii="Times" w:hAnsi="Times" w:eastAsia="Times" w:cs="Times"/>
                <w:b/>
                <w:color w:val="000000"/>
                <w:sz w:val="20"/>
                <w:szCs w:val="20"/>
              </w:rPr>
              <w:t xml:space="preserve">Due Date</w:t>
            </w:r>
            <w:r>
              <w:rPr>
                <w:sz w:val="20"/>
                <w:szCs w:val="20"/>
              </w:rPr>
            </w:r>
          </w:p>
        </w:tc>
      </w:tr>
      <w:tr>
        <w:trPr/>
        <w:tc>
          <w:tcPr>
            <w:tcBorders/>
            <w:tcMar>
              <w:left w:w="15" w:type="dxa"/>
              <w:top w:w="15" w:type="dxa"/>
              <w:right w:w="15" w:type="dxa"/>
              <w:bottom w:w="15" w:type="dxa"/>
            </w:tcMar>
            <w:tcW w:w="1667" w:type="dxa"/>
            <w:vAlign w:val="center"/>
          </w:tcPr>
          <w:p w14:paraId="08BC42A8">
            <w:pPr>
              <w:pBdr/>
              <w:spacing w:after="0" w:before="0" w:line="240"/>
              <w:ind/>
              <w:rPr>
                <w:sz w:val="20"/>
                <w:szCs w:val="20"/>
              </w:rPr>
            </w:pPr>
            <w:r>
              <w:rPr>
                <w:rFonts w:ascii="Times" w:hAnsi="Times" w:eastAsia="Times" w:cs="Times"/>
                <w:color w:val="000000"/>
                <w:sz w:val="20"/>
                <w:szCs w:val="20"/>
              </w:rPr>
              <w:t xml:space="preserve">Deposit (20%)</w:t>
            </w:r>
            <w:r>
              <w:rPr>
                <w:sz w:val="20"/>
                <w:szCs w:val="20"/>
              </w:rPr>
            </w:r>
          </w:p>
        </w:tc>
        <w:tc>
          <w:tcPr>
            <w:tcBorders/>
            <w:tcMar>
              <w:left w:w="15" w:type="dxa"/>
              <w:top w:w="15" w:type="dxa"/>
              <w:right w:w="15" w:type="dxa"/>
              <w:bottom w:w="15" w:type="dxa"/>
            </w:tcMar>
            <w:tcW w:w="1647" w:type="dxa"/>
            <w:vAlign w:val="center"/>
          </w:tcPr>
          <w:p w14:paraId="207ECA73">
            <w:pPr>
              <w:pBdr/>
              <w:spacing w:after="0" w:before="0" w:line="240"/>
              <w:ind/>
              <w:rPr>
                <w:sz w:val="20"/>
                <w:szCs w:val="20"/>
              </w:rPr>
            </w:pPr>
            <w:r>
              <w:rPr>
                <w:rFonts w:ascii="Times" w:hAnsi="Times" w:eastAsia="Times" w:cs="Times"/>
                <w:color w:val="000000"/>
                <w:sz w:val="20"/>
                <w:szCs w:val="20"/>
              </w:rPr>
              <w:t xml:space="preserve">1,500,000</w:t>
            </w:r>
            <w:r>
              <w:rPr>
                <w:sz w:val="20"/>
                <w:szCs w:val="20"/>
              </w:rPr>
            </w:r>
          </w:p>
        </w:tc>
        <w:tc>
          <w:tcPr>
            <w:tcBorders/>
            <w:tcMar>
              <w:left w:w="15" w:type="dxa"/>
              <w:top w:w="15" w:type="dxa"/>
              <w:right w:w="15" w:type="dxa"/>
              <w:bottom w:w="15" w:type="dxa"/>
            </w:tcMar>
            <w:tcW w:w="4742" w:type="dxa"/>
            <w:vAlign w:val="center"/>
          </w:tcPr>
          <w:p w14:paraId="6A772A7C">
            <w:pPr>
              <w:pBdr/>
              <w:spacing w:after="0" w:before="0" w:line="240"/>
              <w:ind/>
              <w:rPr>
                <w:sz w:val="20"/>
                <w:szCs w:val="20"/>
              </w:rPr>
            </w:pPr>
            <w:r>
              <w:rPr>
                <w:rFonts w:ascii="Times" w:hAnsi="Times" w:eastAsia="Times" w:cs="Times"/>
                <w:color w:val="000000"/>
                <w:sz w:val="20"/>
                <w:szCs w:val="20"/>
              </w:rPr>
              <w:t xml:space="preserve">Upon signing this contract</w:t>
            </w:r>
            <w:r>
              <w:rPr>
                <w:sz w:val="20"/>
                <w:szCs w:val="20"/>
              </w:rPr>
            </w:r>
          </w:p>
        </w:tc>
      </w:tr>
      <w:tr>
        <w:trPr/>
        <w:tc>
          <w:tcPr>
            <w:tcBorders/>
            <w:tcMar>
              <w:left w:w="15" w:type="dxa"/>
              <w:top w:w="15" w:type="dxa"/>
              <w:right w:w="15" w:type="dxa"/>
              <w:bottom w:w="15" w:type="dxa"/>
            </w:tcMar>
            <w:tcW w:w="1667" w:type="dxa"/>
            <w:vAlign w:val="center"/>
          </w:tcPr>
          <w:p w14:paraId="4E0090DF">
            <w:pPr>
              <w:pBdr/>
              <w:spacing w:after="0" w:before="0" w:line="240"/>
              <w:ind/>
              <w:rPr>
                <w:sz w:val="20"/>
                <w:szCs w:val="20"/>
              </w:rPr>
            </w:pPr>
            <w:r>
              <w:rPr>
                <w:rFonts w:ascii="Times" w:hAnsi="Times" w:eastAsia="Times" w:cs="Times"/>
                <w:color w:val="000000"/>
                <w:sz w:val="20"/>
                <w:szCs w:val="20"/>
              </w:rPr>
              <w:t xml:space="preserve">Sprint 1 Payment</w:t>
            </w:r>
            <w:r>
              <w:rPr>
                <w:sz w:val="20"/>
                <w:szCs w:val="20"/>
              </w:rPr>
            </w:r>
          </w:p>
        </w:tc>
        <w:tc>
          <w:tcPr>
            <w:tcBorders/>
            <w:tcMar>
              <w:left w:w="15" w:type="dxa"/>
              <w:top w:w="15" w:type="dxa"/>
              <w:right w:w="15" w:type="dxa"/>
              <w:bottom w:w="15" w:type="dxa"/>
            </w:tcMar>
            <w:tcW w:w="1647" w:type="dxa"/>
            <w:vAlign w:val="center"/>
          </w:tcPr>
          <w:p w14:paraId="00547C81">
            <w:pPr>
              <w:pBdr/>
              <w:spacing w:after="0" w:before="0" w:line="240"/>
              <w:ind/>
              <w:rPr>
                <w:sz w:val="20"/>
                <w:szCs w:val="20"/>
              </w:rPr>
            </w:pPr>
            <w:r>
              <w:rPr>
                <w:rFonts w:ascii="Times" w:hAnsi="Times" w:eastAsia="Times" w:cs="Times"/>
                <w:color w:val="000000"/>
                <w:sz w:val="20"/>
                <w:szCs w:val="20"/>
              </w:rPr>
              <w:t xml:space="preserve">2,000,000</w:t>
            </w:r>
            <w:r>
              <w:rPr>
                <w:sz w:val="20"/>
                <w:szCs w:val="20"/>
              </w:rPr>
            </w:r>
          </w:p>
        </w:tc>
        <w:tc>
          <w:tcPr>
            <w:tcBorders/>
            <w:tcMar>
              <w:left w:w="15" w:type="dxa"/>
              <w:top w:w="15" w:type="dxa"/>
              <w:right w:w="15" w:type="dxa"/>
              <w:bottom w:w="15" w:type="dxa"/>
            </w:tcMar>
            <w:tcW w:w="4742" w:type="dxa"/>
            <w:vAlign w:val="center"/>
          </w:tcPr>
          <w:p w14:paraId="506D2E97">
            <w:pPr>
              <w:pBdr/>
              <w:spacing w:after="0" w:before="0" w:line="240"/>
              <w:ind/>
              <w:rPr>
                <w:sz w:val="20"/>
                <w:szCs w:val="20"/>
              </w:rPr>
            </w:pPr>
            <w:r>
              <w:rPr>
                <w:rFonts w:ascii="Times" w:hAnsi="Times" w:eastAsia="Times" w:cs="Times"/>
                <w:color w:val="000000"/>
                <w:sz w:val="20"/>
                <w:szCs w:val="20"/>
              </w:rPr>
              <w:t xml:space="preserve">End of Week 2 (Sprint 1 complete)</w:t>
            </w:r>
            <w:r>
              <w:rPr>
                <w:sz w:val="20"/>
                <w:szCs w:val="20"/>
              </w:rPr>
            </w:r>
          </w:p>
        </w:tc>
      </w:tr>
      <w:tr>
        <w:trPr/>
        <w:tc>
          <w:tcPr>
            <w:tcBorders/>
            <w:tcMar>
              <w:left w:w="15" w:type="dxa"/>
              <w:top w:w="15" w:type="dxa"/>
              <w:right w:w="15" w:type="dxa"/>
              <w:bottom w:w="15" w:type="dxa"/>
            </w:tcMar>
            <w:tcW w:w="1667" w:type="dxa"/>
            <w:vAlign w:val="center"/>
          </w:tcPr>
          <w:p w14:paraId="443B2216">
            <w:pPr>
              <w:pBdr/>
              <w:spacing w:after="0" w:before="0" w:line="240"/>
              <w:ind/>
              <w:rPr>
                <w:sz w:val="20"/>
                <w:szCs w:val="20"/>
              </w:rPr>
            </w:pPr>
            <w:r>
              <w:rPr>
                <w:rFonts w:ascii="Times" w:hAnsi="Times" w:eastAsia="Times" w:cs="Times"/>
                <w:color w:val="000000"/>
                <w:sz w:val="20"/>
                <w:szCs w:val="20"/>
              </w:rPr>
              <w:t xml:space="preserve">Sprint 2 Payment</w:t>
            </w:r>
            <w:r>
              <w:rPr>
                <w:sz w:val="20"/>
                <w:szCs w:val="20"/>
              </w:rPr>
            </w:r>
          </w:p>
        </w:tc>
        <w:tc>
          <w:tcPr>
            <w:tcBorders/>
            <w:tcMar>
              <w:left w:w="15" w:type="dxa"/>
              <w:top w:w="15" w:type="dxa"/>
              <w:right w:w="15" w:type="dxa"/>
              <w:bottom w:w="15" w:type="dxa"/>
            </w:tcMar>
            <w:tcW w:w="1647" w:type="dxa"/>
            <w:vAlign w:val="center"/>
          </w:tcPr>
          <w:p w14:paraId="03DCDF05">
            <w:pPr>
              <w:pBdr/>
              <w:spacing w:after="0" w:before="0" w:line="240"/>
              <w:ind/>
              <w:rPr>
                <w:sz w:val="20"/>
                <w:szCs w:val="20"/>
              </w:rPr>
            </w:pPr>
            <w:r>
              <w:rPr>
                <w:rFonts w:ascii="Times" w:hAnsi="Times" w:eastAsia="Times" w:cs="Times"/>
                <w:color w:val="000000"/>
                <w:sz w:val="20"/>
                <w:szCs w:val="20"/>
              </w:rPr>
              <w:t xml:space="preserve">2,000,000</w:t>
            </w:r>
            <w:r>
              <w:rPr>
                <w:sz w:val="20"/>
                <w:szCs w:val="20"/>
              </w:rPr>
            </w:r>
          </w:p>
        </w:tc>
        <w:tc>
          <w:tcPr>
            <w:tcBorders/>
            <w:tcMar>
              <w:left w:w="15" w:type="dxa"/>
              <w:top w:w="15" w:type="dxa"/>
              <w:right w:w="15" w:type="dxa"/>
              <w:bottom w:w="15" w:type="dxa"/>
            </w:tcMar>
            <w:tcW w:w="4742" w:type="dxa"/>
            <w:vAlign w:val="center"/>
          </w:tcPr>
          <w:p w14:paraId="481CAA12">
            <w:pPr>
              <w:pBdr/>
              <w:spacing w:after="0" w:before="0" w:line="240"/>
              <w:ind/>
              <w:rPr>
                <w:sz w:val="20"/>
                <w:szCs w:val="20"/>
              </w:rPr>
            </w:pPr>
            <w:r>
              <w:rPr>
                <w:rFonts w:ascii="Times" w:hAnsi="Times" w:eastAsia="Times" w:cs="Times"/>
                <w:color w:val="000000"/>
                <w:sz w:val="20"/>
                <w:szCs w:val="20"/>
              </w:rPr>
              <w:t xml:space="preserve">End of Week 4 (Sprint 2 complete)</w:t>
            </w:r>
            <w:r>
              <w:rPr>
                <w:sz w:val="20"/>
                <w:szCs w:val="20"/>
              </w:rPr>
            </w:r>
          </w:p>
        </w:tc>
      </w:tr>
      <w:tr>
        <w:trPr/>
        <w:tc>
          <w:tcPr>
            <w:tcBorders/>
            <w:tcMar>
              <w:left w:w="15" w:type="dxa"/>
              <w:top w:w="15" w:type="dxa"/>
              <w:right w:w="15" w:type="dxa"/>
              <w:bottom w:w="15" w:type="dxa"/>
            </w:tcMar>
            <w:tcW w:w="1667" w:type="dxa"/>
            <w:vAlign w:val="center"/>
          </w:tcPr>
          <w:p w14:paraId="20E4F21F">
            <w:pPr>
              <w:pBdr/>
              <w:spacing w:after="0" w:before="0" w:line="240"/>
              <w:ind/>
              <w:rPr>
                <w:sz w:val="20"/>
                <w:szCs w:val="20"/>
              </w:rPr>
            </w:pPr>
            <w:r>
              <w:rPr>
                <w:rFonts w:ascii="Times" w:hAnsi="Times" w:eastAsia="Times" w:cs="Times"/>
                <w:color w:val="000000"/>
                <w:sz w:val="20"/>
                <w:szCs w:val="20"/>
              </w:rPr>
              <w:t xml:space="preserve">Sprint 3 Payment</w:t>
            </w:r>
            <w:r>
              <w:rPr>
                <w:sz w:val="20"/>
                <w:szCs w:val="20"/>
              </w:rPr>
            </w:r>
          </w:p>
        </w:tc>
        <w:tc>
          <w:tcPr>
            <w:tcBorders/>
            <w:tcMar>
              <w:left w:w="15" w:type="dxa"/>
              <w:top w:w="15" w:type="dxa"/>
              <w:right w:w="15" w:type="dxa"/>
              <w:bottom w:w="15" w:type="dxa"/>
            </w:tcMar>
            <w:tcW w:w="1647" w:type="dxa"/>
            <w:vAlign w:val="center"/>
          </w:tcPr>
          <w:p w14:paraId="6D380DBF">
            <w:pPr>
              <w:pBdr/>
              <w:spacing w:after="0" w:before="0" w:line="240"/>
              <w:ind/>
              <w:rPr>
                <w:sz w:val="20"/>
                <w:szCs w:val="20"/>
              </w:rPr>
            </w:pPr>
            <w:r>
              <w:rPr>
                <w:rFonts w:ascii="Times" w:hAnsi="Times" w:eastAsia="Times" w:cs="Times"/>
                <w:color w:val="000000"/>
                <w:sz w:val="20"/>
                <w:szCs w:val="20"/>
              </w:rPr>
              <w:t xml:space="preserve">2,000,000</w:t>
            </w:r>
            <w:r>
              <w:rPr>
                <w:sz w:val="20"/>
                <w:szCs w:val="20"/>
              </w:rPr>
            </w:r>
          </w:p>
        </w:tc>
        <w:tc>
          <w:tcPr>
            <w:tcBorders/>
            <w:tcMar>
              <w:left w:w="15" w:type="dxa"/>
              <w:top w:w="15" w:type="dxa"/>
              <w:right w:w="15" w:type="dxa"/>
              <w:bottom w:w="15" w:type="dxa"/>
            </w:tcMar>
            <w:tcW w:w="4742" w:type="dxa"/>
            <w:vAlign w:val="center"/>
          </w:tcPr>
          <w:p w14:paraId="2F8D7CDC">
            <w:pPr>
              <w:pBdr/>
              <w:spacing w:after="0" w:before="0" w:line="240"/>
              <w:ind/>
              <w:rPr>
                <w:sz w:val="20"/>
                <w:szCs w:val="20"/>
              </w:rPr>
            </w:pPr>
            <w:r>
              <w:rPr>
                <w:rFonts w:ascii="Times" w:hAnsi="Times" w:eastAsia="Times" w:cs="Times"/>
                <w:color w:val="000000"/>
                <w:sz w:val="20"/>
                <w:szCs w:val="20"/>
              </w:rPr>
              <w:t xml:space="preserve">End of Week 6 (Sprint 3 complete &amp; system live)</w:t>
            </w:r>
            <w:r>
              <w:rPr>
                <w:sz w:val="20"/>
                <w:szCs w:val="20"/>
              </w:rPr>
            </w:r>
          </w:p>
        </w:tc>
      </w:tr>
      <w:tr>
        <w:trPr/>
        <w:tc>
          <w:tcPr>
            <w:tcBorders/>
            <w:tcMar>
              <w:left w:w="15" w:type="dxa"/>
              <w:top w:w="15" w:type="dxa"/>
              <w:right w:w="15" w:type="dxa"/>
              <w:bottom w:w="15" w:type="dxa"/>
            </w:tcMar>
            <w:tcW w:w="1667" w:type="dxa"/>
            <w:vAlign w:val="center"/>
          </w:tcPr>
          <w:p w14:paraId="14BFC690">
            <w:pPr>
              <w:pBdr/>
              <w:spacing w:after="0" w:before="0" w:line="240"/>
              <w:ind/>
              <w:rPr>
                <w:sz w:val="20"/>
                <w:szCs w:val="20"/>
              </w:rPr>
            </w:pPr>
            <w:r>
              <w:rPr>
                <w:rFonts w:ascii="Times" w:hAnsi="Times" w:eastAsia="Times" w:cs="Times"/>
                <w:b/>
                <w:color w:val="000000"/>
                <w:sz w:val="20"/>
                <w:szCs w:val="20"/>
              </w:rPr>
              <w:t xml:space="preserve">TOTAL</w:t>
            </w:r>
            <w:r>
              <w:rPr>
                <w:sz w:val="20"/>
                <w:szCs w:val="20"/>
              </w:rPr>
            </w:r>
          </w:p>
        </w:tc>
        <w:tc>
          <w:tcPr>
            <w:tcBorders/>
            <w:tcMar>
              <w:left w:w="15" w:type="dxa"/>
              <w:top w:w="15" w:type="dxa"/>
              <w:right w:w="15" w:type="dxa"/>
              <w:bottom w:w="15" w:type="dxa"/>
            </w:tcMar>
            <w:tcW w:w="1647" w:type="dxa"/>
            <w:vAlign w:val="center"/>
          </w:tcPr>
          <w:p w14:paraId="3C52FCCD">
            <w:pPr>
              <w:pBdr/>
              <w:spacing w:after="0" w:before="0" w:line="240"/>
              <w:ind/>
              <w:rPr>
                <w:sz w:val="20"/>
                <w:szCs w:val="20"/>
              </w:rPr>
            </w:pPr>
            <w:r>
              <w:rPr>
                <w:rFonts w:ascii="Times" w:hAnsi="Times" w:eastAsia="Times" w:cs="Times"/>
                <w:b/>
                <w:color w:val="000000"/>
                <w:sz w:val="20"/>
                <w:szCs w:val="20"/>
              </w:rPr>
              <w:t xml:space="preserve">7,500,000</w:t>
            </w:r>
            <w:r>
              <w:rPr>
                <w:sz w:val="20"/>
                <w:szCs w:val="20"/>
              </w:rPr>
            </w:r>
          </w:p>
        </w:tc>
        <w:tc>
          <w:tcPr>
            <w:tcBorders/>
            <w:tcMar>
              <w:left w:w="15" w:type="dxa"/>
              <w:top w:w="15" w:type="dxa"/>
              <w:right w:w="15" w:type="dxa"/>
              <w:bottom w:w="15" w:type="dxa"/>
            </w:tcMar>
            <w:tcW w:w="4742" w:type="dxa"/>
            <w:vAlign w:val="center"/>
          </w:tcPr>
          <w:p w14:paraId="137161C7">
            <w:pPr>
              <w:pBdr/>
              <w:spacing w:after="0" w:before="0" w:line="240"/>
              <w:ind/>
              <w:rPr>
                <w:sz w:val="20"/>
                <w:szCs w:val="20"/>
              </w:rPr>
            </w:pPr>
            <w:r>
              <w:rPr>
                <w:sz w:val="20"/>
                <w:szCs w:val="20"/>
              </w:rPr>
            </w:r>
          </w:p>
        </w:tc>
      </w:tr>
    </w:tbl>
    <w:p w14:paraId="63C88778">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Payment conditions:</w:t>
      </w:r>
      <w:r>
        <w:rPr>
          <w:sz w:val="20"/>
          <w:szCs w:val="20"/>
        </w:rPr>
      </w:r>
    </w:p>
    <w:p w14:paraId="160C54CD">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The deposit is non-refundable once development has commenced.</w:t>
      </w:r>
      <w:r>
        <w:rPr>
          <w:sz w:val="20"/>
          <w:szCs w:val="20"/>
        </w:rPr>
      </w:r>
    </w:p>
    <w:p w14:paraId="4DB03770">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Sprint payments are due within 3 business days of sprint completion and demonstration.</w:t>
      </w:r>
      <w:r>
        <w:rPr>
          <w:sz w:val="20"/>
          <w:szCs w:val="20"/>
        </w:rPr>
      </w:r>
    </w:p>
    <w:p w14:paraId="17EDC098">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Training (Weeks 7–8) does not commence until the Sprint 3 payment is received in full.</w:t>
      </w:r>
      <w:r>
        <w:rPr>
          <w:sz w:val="20"/>
          <w:szCs w:val="20"/>
        </w:rPr>
      </w:r>
    </w:p>
    <w:p w14:paraId="3CF382CD">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color w:val="000000"/>
          <w:sz w:val="20"/>
          <w:szCs w:val="20"/>
        </w:rPr>
        <w:t xml:space="preserve">Late payment beyond 5 business days may result in suspension of work. The Service Provider shall notify the Client in writing before any suspension.</w:t>
      </w:r>
      <w:r>
        <w:rPr>
          <w:sz w:val="20"/>
          <w:szCs w:val="20"/>
        </w:rPr>
      </w:r>
    </w:p>
    <w:p w14:paraId="231E4410">
      <w:pPr>
        <w:pStyle w:val="140"/>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SECTION 4 — INCLUSIONS &amp; VALUE PACKAGE</w:t>
      </w:r>
      <w:r>
        <w:rPr>
          <w:sz w:val="20"/>
          <w:szCs w:val="20"/>
        </w:rPr>
      </w:r>
    </w:p>
    <w:p w14:paraId="4554C2B5">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Summary:</w:t>
      </w:r>
      <w:r>
        <w:rPr>
          <w:rFonts w:ascii="Times" w:hAnsi="Times" w:eastAsia="Times" w:cs="Times"/>
          <w:color w:val="000000"/>
          <w:sz w:val="20"/>
          <w:szCs w:val="20"/>
        </w:rPr>
        <w:t xml:space="preserve"> In addition to the system itself, the Client receives three months of complimentary server hosting, technical support, and training support after go-live. The Client is also entitled to one free system update after launch.</w:t>
      </w:r>
      <w:r>
        <w:rPr>
          <w:sz w:val="20"/>
          <w:szCs w:val="20"/>
        </w:rPr>
      </w:r>
    </w:p>
    <w:p w14:paraId="03E8D1CB">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Client Benefit:</w:t>
      </w:r>
      <w:r>
        <w:rPr>
          <w:rFonts w:ascii="Times" w:hAnsi="Times" w:eastAsia="Times" w:cs="Times"/>
          <w:color w:val="000000"/>
          <w:sz w:val="20"/>
          <w:szCs w:val="20"/>
        </w:rPr>
        <w:t xml:space="preserve"> The Client has peace of mind for the first three months of operation — if anything breaks, if staff need re-training, or if the server needs attention, there is no additional cost. The free version update ensures the Client can request one round of improv</w:t>
      </w:r>
      <w:r>
        <w:rPr>
          <w:rFonts w:ascii="Times" w:hAnsi="Times" w:eastAsia="Times" w:cs="Times"/>
          <w:color w:val="000000"/>
          <w:sz w:val="20"/>
          <w:szCs w:val="20"/>
        </w:rPr>
        <w:t xml:space="preserve">ements after they have experienced the system in live operation.</w:t>
      </w:r>
      <w:r>
        <w:rPr>
          <w:sz w:val="20"/>
          <w:szCs w:val="20"/>
        </w:rPr>
      </w:r>
    </w:p>
    <w:p w14:paraId="22F545C8">
      <w:pPr>
        <w:pStyle w:val="141"/>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4.1 Three Months Complimentary — Post-Launch</w:t>
      </w:r>
      <w:r>
        <w:rPr>
          <w:sz w:val="20"/>
          <w:szCs w:val="20"/>
        </w:rPr>
      </w:r>
    </w:p>
    <w:p w14:paraId="4749DCCC">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From the date the system goes live, the Client receives at no additional charge:</w:t>
      </w:r>
      <w:r>
        <w:rPr>
          <w:sz w:val="20"/>
          <w:szCs w:val="20"/>
        </w:rPr>
      </w:r>
    </w:p>
    <w:p w14:paraId="6FA00714">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b/>
          <w:color w:val="000000"/>
          <w:sz w:val="20"/>
          <w:szCs w:val="20"/>
        </w:rPr>
        <w:t xml:space="preserve">Server Hosting (Contabo):</w:t>
      </w:r>
      <w:r>
        <w:rPr>
          <w:rFonts w:ascii="Times" w:hAnsi="Times" w:eastAsia="Times" w:cs="Times"/>
          <w:color w:val="000000"/>
          <w:sz w:val="20"/>
          <w:szCs w:val="20"/>
        </w:rPr>
        <w:t xml:space="preserve"> Three months of server storage and hosting costs covered by the Service Provider.</w:t>
      </w:r>
      <w:r>
        <w:rPr>
          <w:sz w:val="20"/>
          <w:szCs w:val="20"/>
        </w:rPr>
      </w:r>
    </w:p>
    <w:p w14:paraId="2EF1960C">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b/>
          <w:color w:val="000000"/>
          <w:sz w:val="20"/>
          <w:szCs w:val="20"/>
        </w:rPr>
        <w:t xml:space="preserve">Technical Support:</w:t>
      </w:r>
      <w:r>
        <w:rPr>
          <w:rFonts w:ascii="Times" w:hAnsi="Times" w:eastAsia="Times" w:cs="Times"/>
          <w:color w:val="000000"/>
          <w:sz w:val="20"/>
          <w:szCs w:val="20"/>
        </w:rPr>
        <w:t xml:space="preserve"> Three months of bug fixes, issue resolution, and system maintenance. Response within 48 hours of a reported issue.</w:t>
      </w:r>
      <w:r>
        <w:rPr>
          <w:sz w:val="20"/>
          <w:szCs w:val="20"/>
        </w:rPr>
      </w:r>
    </w:p>
    <w:p w14:paraId="278910CD">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w:hAnsi="Times" w:eastAsia="Times" w:cs="Times"/>
          <w:b/>
          <w:color w:val="000000"/>
          <w:sz w:val="20"/>
          <w:szCs w:val="20"/>
        </w:rPr>
        <w:t xml:space="preserve">Training Support:</w:t>
      </w:r>
      <w:r>
        <w:rPr>
          <w:rFonts w:ascii="Times" w:hAnsi="Times" w:eastAsia="Times" w:cs="Times"/>
          <w:color w:val="000000"/>
          <w:sz w:val="20"/>
          <w:szCs w:val="20"/>
        </w:rPr>
        <w:t xml:space="preserve"> Three months of post-training assistance — questions, refresher guidance, and onboarding support for new staff during this period.</w:t>
      </w:r>
      <w:r>
        <w:rPr>
          <w:sz w:val="20"/>
          <w:szCs w:val="20"/>
        </w:rPr>
      </w:r>
    </w:p>
    <w:p w14:paraId="5D584DA8">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After three months, ongoing server, support, and maintenance services will be quoted separately if the Client wishes to continue.</w:t>
      </w:r>
      <w:r>
        <w:rPr>
          <w:sz w:val="20"/>
          <w:szCs w:val="20"/>
        </w:rPr>
      </w:r>
    </w:p>
    <w:p w14:paraId="2ADBC9A0">
      <w:pPr>
        <w:pStyle w:val="141"/>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4.2 One Free Version Update</w:t>
      </w:r>
      <w:r>
        <w:rPr>
          <w:sz w:val="20"/>
          <w:szCs w:val="20"/>
        </w:rPr>
      </w:r>
    </w:p>
    <w:p w14:paraId="4895D87E">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The Client is entitled to one (1) version update to the system at no additional development cost. This update may be requested any time within twelve (12) months of go-live and covers enhancements or changes to existing features based on operational experi</w:t>
      </w:r>
      <w:r>
        <w:rPr>
          <w:rFonts w:ascii="Times" w:hAnsi="Times" w:eastAsia="Times" w:cs="Times"/>
          <w:color w:val="000000"/>
          <w:sz w:val="20"/>
          <w:szCs w:val="20"/>
        </w:rPr>
        <w:t xml:space="preserve">ence.</w:t>
      </w:r>
      <w:r>
        <w:rPr>
          <w:sz w:val="20"/>
          <w:szCs w:val="20"/>
        </w:rPr>
      </w:r>
    </w:p>
    <w:p w14:paraId="76202F28">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This does not cover the addition of entirely new modules or major feature sets, which would be scoped and quoted separately.</w:t>
      </w:r>
      <w:r>
        <w:rPr>
          <w:sz w:val="20"/>
          <w:szCs w:val="20"/>
        </w:rPr>
      </w:r>
    </w:p>
    <w:p w14:paraId="5A04C1C9">
      <w:pPr>
        <w:pStyle w:val="141"/>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4.3 SMS / Communication Costs</w:t>
      </w:r>
      <w:r>
        <w:rPr>
          <w:sz w:val="20"/>
          <w:szCs w:val="20"/>
        </w:rPr>
      </w:r>
    </w:p>
    <w:p w14:paraId="73FFB7BF">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SMS notification costs (for head technician alerts and any other system-generated messages) are borne entirely by the Client from day one of the system going live. The Service Provider will integrate the SMS gateway; the Client is responsible for maintaini</w:t>
      </w:r>
      <w:r>
        <w:rPr>
          <w:rFonts w:ascii="Times" w:hAnsi="Times" w:eastAsia="Times" w:cs="Times"/>
          <w:color w:val="000000"/>
          <w:sz w:val="20"/>
          <w:szCs w:val="20"/>
        </w:rPr>
        <w:t xml:space="preserve">ng an active SMS credit balance with the gateway provider.</w:t>
      </w:r>
      <w:r>
        <w:rPr>
          <w:sz w:val="20"/>
          <w:szCs w:val="20"/>
        </w:rPr>
      </w:r>
    </w:p>
    <w:p w14:paraId="3F9D972C">
      <w:pPr>
        <w:pStyle w:val="140"/>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SECTION 5 — INTELLECTUAL PROPERTY</w:t>
      </w:r>
      <w:r>
        <w:rPr>
          <w:sz w:val="20"/>
          <w:szCs w:val="20"/>
        </w:rPr>
      </w:r>
    </w:p>
    <w:p w14:paraId="3B58A5EE">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Summary:</w:t>
      </w:r>
      <w:r>
        <w:rPr>
          <w:rFonts w:ascii="Times" w:hAnsi="Times" w:eastAsia="Times" w:cs="Times"/>
          <w:color w:val="000000"/>
          <w:sz w:val="20"/>
          <w:szCs w:val="20"/>
        </w:rPr>
        <w:t xml:space="preserve"> The Client owns the system once it is fully paid for. The Service Provider retains no claim over the system after final payment.</w:t>
      </w:r>
      <w:r>
        <w:rPr>
          <w:sz w:val="20"/>
          <w:szCs w:val="20"/>
        </w:rPr>
      </w:r>
    </w:p>
    <w:p w14:paraId="3BCF917E">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Client Benefit:</w:t>
      </w:r>
      <w:r>
        <w:rPr>
          <w:rFonts w:ascii="Times" w:hAnsi="Times" w:eastAsia="Times" w:cs="Times"/>
          <w:color w:val="000000"/>
          <w:sz w:val="20"/>
          <w:szCs w:val="20"/>
        </w:rPr>
        <w:t xml:space="preserve"> Style My Space owns their system outright. It cannot be taken away, resold to competitors, or held hostage over payment disputes once all invoices are settled.</w:t>
      </w:r>
      <w:r>
        <w:rPr>
          <w:sz w:val="20"/>
          <w:szCs w:val="20"/>
        </w:rPr>
      </w:r>
    </w:p>
    <w:p w14:paraId="01573103">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Upon receipt of all payments as outlined in Section 3, full ownership of the Furniture Management System — including all code, data, and associated assets developed specifically for Style My Space — shall transfer to the Client.</w:t>
      </w:r>
      <w:r>
        <w:rPr>
          <w:sz w:val="20"/>
          <w:szCs w:val="20"/>
        </w:rPr>
      </w:r>
    </w:p>
    <w:p w14:paraId="12993350">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The Service Provider retains the right to reference this project in their portfolio (without disclosing confidential business data) unless the Client requests otherwise in writing.</w:t>
      </w:r>
      <w:r>
        <w:rPr>
          <w:sz w:val="20"/>
          <w:szCs w:val="20"/>
        </w:rPr>
      </w:r>
    </w:p>
    <w:p w14:paraId="3556424D">
      <w:pPr>
        <w:pStyle w:val="140"/>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SECTION 6 — CONFIDENTIALITY</w:t>
      </w:r>
      <w:r>
        <w:rPr>
          <w:sz w:val="20"/>
          <w:szCs w:val="20"/>
        </w:rPr>
      </w:r>
    </w:p>
    <w:p w14:paraId="4C5F98D7">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Summary:</w:t>
      </w:r>
      <w:r>
        <w:rPr>
          <w:rFonts w:ascii="Times" w:hAnsi="Times" w:eastAsia="Times" w:cs="Times"/>
          <w:color w:val="000000"/>
          <w:sz w:val="20"/>
          <w:szCs w:val="20"/>
        </w:rPr>
        <w:t xml:space="preserve"> Both Parties agree to keep each other's business information private.</w:t>
      </w:r>
      <w:r>
        <w:rPr>
          <w:sz w:val="20"/>
          <w:szCs w:val="20"/>
        </w:rPr>
      </w:r>
    </w:p>
    <w:p w14:paraId="26D2E5BF">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Client Benefit:</w:t>
      </w:r>
      <w:r>
        <w:rPr>
          <w:rFonts w:ascii="Times" w:hAnsi="Times" w:eastAsia="Times" w:cs="Times"/>
          <w:color w:val="000000"/>
          <w:sz w:val="20"/>
          <w:szCs w:val="20"/>
        </w:rPr>
        <w:t xml:space="preserve"> All business processes, pricing structures, customer data, and operational details shared during development remain confidential and cannot be shared with third parties.</w:t>
      </w:r>
      <w:r>
        <w:rPr>
          <w:sz w:val="20"/>
          <w:szCs w:val="20"/>
        </w:rPr>
      </w:r>
    </w:p>
    <w:p w14:paraId="0B0424C3">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Both Parties agree not to disclose any confidential information belonging to the other Party to any third party without prior written consent. Confidential information includes but is not limited to: business processes, pricing, customer data, system archi</w:t>
      </w:r>
      <w:r>
        <w:rPr>
          <w:rFonts w:ascii="Times" w:hAnsi="Times" w:eastAsia="Times" w:cs="Times"/>
          <w:color w:val="000000"/>
          <w:sz w:val="20"/>
          <w:szCs w:val="20"/>
        </w:rPr>
        <w:t xml:space="preserve">tecture, and any proprietary operational knowledge.</w:t>
      </w:r>
      <w:r>
        <w:rPr>
          <w:sz w:val="20"/>
          <w:szCs w:val="20"/>
        </w:rPr>
      </w:r>
    </w:p>
    <w:p w14:paraId="21C85918">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This obligation survives the termination of this Agreement.</w:t>
      </w:r>
      <w:r>
        <w:rPr>
          <w:sz w:val="20"/>
          <w:szCs w:val="20"/>
        </w:rPr>
      </w:r>
    </w:p>
    <w:p w14:paraId="6C0B648D">
      <w:pPr>
        <w:pStyle w:val="140"/>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SECTION 7 — TERMINATION</w:t>
      </w:r>
      <w:r>
        <w:rPr>
          <w:sz w:val="20"/>
          <w:szCs w:val="20"/>
        </w:rPr>
      </w:r>
    </w:p>
    <w:p w14:paraId="0FE0A684">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Summary:</w:t>
      </w:r>
      <w:r>
        <w:rPr>
          <w:rFonts w:ascii="Times" w:hAnsi="Times" w:eastAsia="Times" w:cs="Times"/>
          <w:color w:val="000000"/>
          <w:sz w:val="20"/>
          <w:szCs w:val="20"/>
        </w:rPr>
        <w:t xml:space="preserve"> Either party may terminate the agreement under specific conditions, with financial obligations attached to how far the project has progressed.</w:t>
      </w:r>
      <w:r>
        <w:rPr>
          <w:sz w:val="20"/>
          <w:szCs w:val="20"/>
        </w:rPr>
      </w:r>
    </w:p>
    <w:p w14:paraId="60832906">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7.1 By the Client:</w:t>
      </w:r>
      <w:r>
        <w:rPr>
          <w:rFonts w:ascii="Times" w:hAnsi="Times" w:eastAsia="Times" w:cs="Times"/>
          <w:color w:val="000000"/>
          <w:sz w:val="20"/>
          <w:szCs w:val="20"/>
        </w:rPr>
        <w:t xml:space="preserve"> The Client may terminate this Agreement by providing written notice. In such case, the Client shall pay for all sprints completed to the date of termination. Work in progress at the time of termination shall be handed over to the Client in its current sta</w:t>
      </w:r>
      <w:r>
        <w:rPr>
          <w:rFonts w:ascii="Times" w:hAnsi="Times" w:eastAsia="Times" w:cs="Times"/>
          <w:color w:val="000000"/>
          <w:sz w:val="20"/>
          <w:szCs w:val="20"/>
        </w:rPr>
        <w:t xml:space="preserve">te. The deposit is non-refundable.</w:t>
      </w:r>
      <w:r>
        <w:rPr>
          <w:sz w:val="20"/>
          <w:szCs w:val="20"/>
        </w:rPr>
      </w:r>
    </w:p>
    <w:p w14:paraId="1EC8B0E3">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7.2 By the Service Provider:</w:t>
      </w:r>
      <w:r>
        <w:rPr>
          <w:rFonts w:ascii="Times" w:hAnsi="Times" w:eastAsia="Times" w:cs="Times"/>
          <w:color w:val="000000"/>
          <w:sz w:val="20"/>
          <w:szCs w:val="20"/>
        </w:rPr>
        <w:t xml:space="preserve"> The Service Provider may terminate this Agreement if the Client fails to make payment within ten (10) business days of the due date, or if the Client materially breaches any term of this Agreement, and fails to remedy the breach within five (5) business d</w:t>
      </w:r>
      <w:r>
        <w:rPr>
          <w:rFonts w:ascii="Times" w:hAnsi="Times" w:eastAsia="Times" w:cs="Times"/>
          <w:color w:val="000000"/>
          <w:sz w:val="20"/>
          <w:szCs w:val="20"/>
        </w:rPr>
        <w:t xml:space="preserve">ays of written notice.</w:t>
      </w:r>
      <w:r>
        <w:rPr>
          <w:sz w:val="20"/>
          <w:szCs w:val="20"/>
        </w:rPr>
      </w:r>
    </w:p>
    <w:p w14:paraId="77C25313">
      <w:pPr>
        <w:pStyle w:val="140"/>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SECTION 8 — LIMITATION OF LIABILITY</w:t>
      </w:r>
      <w:r>
        <w:rPr>
          <w:sz w:val="20"/>
          <w:szCs w:val="20"/>
        </w:rPr>
      </w:r>
    </w:p>
    <w:p w14:paraId="6DF93209">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The Service Provider's total liability under this Agreement shall not exceed the total amount paid by the Client at the time a claim arises. The Service Provider is not liable for any loss of business, loss of revenue, or consequential damages arising from</w:t>
      </w:r>
      <w:r>
        <w:rPr>
          <w:rFonts w:ascii="Times" w:hAnsi="Times" w:eastAsia="Times" w:cs="Times"/>
          <w:color w:val="000000"/>
          <w:sz w:val="20"/>
          <w:szCs w:val="20"/>
        </w:rPr>
        <w:t xml:space="preserve"> the use or inability to use the system.</w:t>
      </w:r>
      <w:r>
        <w:rPr>
          <w:sz w:val="20"/>
          <w:szCs w:val="20"/>
        </w:rPr>
      </w:r>
    </w:p>
    <w:p w14:paraId="69D315E7">
      <w:pPr>
        <w:pStyle w:val="140"/>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SECTION 9 — GOVERNING LAW</w:t>
      </w:r>
      <w:r>
        <w:rPr>
          <w:sz w:val="20"/>
          <w:szCs w:val="20"/>
        </w:rPr>
      </w:r>
    </w:p>
    <w:p w14:paraId="5DB6ABB3">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This Agreement shall be governed by and construed in accordance with the laws of the </w:t>
      </w:r>
      <w:r>
        <w:rPr>
          <w:rFonts w:ascii="Times" w:hAnsi="Times" w:eastAsia="Times" w:cs="Times"/>
          <w:b/>
          <w:color w:val="000000"/>
          <w:sz w:val="20"/>
          <w:szCs w:val="20"/>
        </w:rPr>
        <w:t xml:space="preserve">United Republic of Tanzania</w:t>
      </w:r>
      <w:r>
        <w:rPr>
          <w:rFonts w:ascii="Times" w:hAnsi="Times" w:eastAsia="Times" w:cs="Times"/>
          <w:color w:val="000000"/>
          <w:sz w:val="20"/>
          <w:szCs w:val="20"/>
        </w:rPr>
        <w:t xml:space="preserve">. Any disputes arising out of or in connection with this Agreement shall first be resolved through good-faith negotiation between the Parties.</w:t>
      </w:r>
      <w:r>
        <w:rPr>
          <w:sz w:val="20"/>
          <w:szCs w:val="20"/>
        </w:rPr>
      </w:r>
    </w:p>
    <w:p w14:paraId="4AC268A9">
      <w:pPr>
        <w:pStyle w:val="140"/>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SECTION 10 — ENTIRE AGREEMENT</w:t>
      </w:r>
      <w:r>
        <w:rPr>
          <w:sz w:val="20"/>
          <w:szCs w:val="20"/>
        </w:rPr>
      </w:r>
    </w:p>
    <w:p w14:paraId="72CF8025">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This document constitutes the entire agreement between the Parties regarding the subject matter herein and supersedes all prior discussions, representations, and understandings. Any amendments must be made in writing and signed by both Parties.</w:t>
      </w:r>
      <w:r>
        <w:rPr>
          <w:sz w:val="20"/>
          <w:szCs w:val="20"/>
        </w:rPr>
      </w:r>
    </w:p>
    <w:p w14:paraId="2C854829">
      <w:pPr>
        <w:pStyle w:val="140"/>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SIGNATURES</w:t>
      </w:r>
      <w:r>
        <w:rPr>
          <w:sz w:val="20"/>
          <w:szCs w:val="20"/>
        </w:rPr>
      </w:r>
    </w:p>
    <w:p w14:paraId="1852C78C">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color w:val="000000"/>
          <w:sz w:val="20"/>
          <w:szCs w:val="20"/>
        </w:rPr>
        <w:t xml:space="preserve">By signing below, both Parties confirm they have read, understood, and agreed to the terms of this Agreement.</w:t>
      </w:r>
      <w:r>
        <w:rPr>
          <w:sz w:val="20"/>
          <w:szCs w:val="20"/>
        </w:rPr>
      </w:r>
    </w:p>
    <w:p w14:paraId="2F406337">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SERVICE PROVIDER</w:t>
      </w:r>
      <w:r>
        <w:rPr>
          <w:sz w:val="20"/>
          <w:szCs w:val="20"/>
        </w:rPr>
      </w:r>
    </w:p>
    <w:p w14:paraId="1636A342">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color w:val="000000"/>
          <w:sz w:val="20"/>
          <w:szCs w:val="20"/>
        </w:rPr>
      </w:pPr>
      <w:r>
        <w:rPr>
          <w:rFonts w:ascii="Times" w:hAnsi="Times" w:eastAsia="Times" w:cs="Times"/>
          <w:color w:val="000000"/>
          <w:sz w:val="20"/>
          <w:szCs w:val="20"/>
        </w:rPr>
        <w:t xml:space="preserve">Name: Thecla James</w:t>
      </w:r>
      <w:r>
        <w:rPr>
          <w:rFonts w:ascii="Times" w:hAnsi="Times" w:eastAsia="Times" w:cs="Times"/>
          <w:sz w:val="20"/>
          <w:szCs w:val="20"/>
        </w:rPr>
      </w:r>
    </w:p>
    <w:p w14:paraId="2FD7992D">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color w:val="000000"/>
          <w:sz w:val="20"/>
          <w:szCs w:val="20"/>
        </w:rPr>
      </w:pPr>
      <w:r>
        <w:rPr>
          <w:rFonts w:ascii="Times" w:hAnsi="Times" w:eastAsia="Times" w:cs="Times"/>
          <w:color w:val="000000"/>
          <w:sz w:val="20"/>
          <w:szCs w:val="20"/>
        </w:rPr>
        <w:t xml:space="preserve">Title: Sole Proprietor </w:t>
      </w:r>
      <w:r>
        <w:rPr>
          <w:rFonts w:ascii="Times" w:hAnsi="Times" w:eastAsia="Times" w:cs="Times"/>
          <w:sz w:val="20"/>
          <w:szCs w:val="20"/>
        </w:rPr>
      </w:r>
    </w:p>
    <w:p w14:paraId="0D3EBCA4">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color w:val="000000"/>
          <w:sz w:val="20"/>
          <w:szCs w:val="20"/>
        </w:rPr>
      </w:pPr>
      <w:r>
        <w:rPr>
          <w:rFonts w:ascii="Times" w:hAnsi="Times" w:eastAsia="Times" w:cs="Times"/>
          <w:color w:val="000000"/>
          <w:sz w:val="20"/>
          <w:szCs w:val="20"/>
        </w:rPr>
        <w:t xml:space="preserve"> Software Provider Signature: ___________________________ </w:t>
      </w:r>
      <w:r>
        <w:rPr>
          <w:rFonts w:ascii="Times" w:hAnsi="Times" w:eastAsia="Times" w:cs="Times"/>
          <w:sz w:val="20"/>
          <w:szCs w:val="20"/>
        </w:rPr>
      </w:r>
    </w:p>
    <w:p w14:paraId="5A55E4F1">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sz w:val="20"/>
          <w:szCs w:val="20"/>
        </w:rPr>
      </w:pPr>
      <w:r>
        <w:rPr>
          <w:rFonts w:ascii="Times" w:hAnsi="Times" w:eastAsia="Times" w:cs="Times"/>
          <w:color w:val="000000"/>
          <w:sz w:val="20"/>
          <w:szCs w:val="20"/>
        </w:rPr>
        <w:t xml:space="preserve">Date: ___________________________</w:t>
      </w:r>
      <w:r/>
      <w:r/>
    </w:p>
    <w:p w14:paraId="4E0750EE">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w:hAnsi="Times" w:eastAsia="Times" w:cs="Times"/>
          <w:b/>
          <w:color w:val="000000"/>
          <w:sz w:val="20"/>
          <w:szCs w:val="20"/>
        </w:rPr>
        <w:t xml:space="preserve">CLIENT</w:t>
      </w:r>
      <w:r>
        <w:rPr>
          <w:sz w:val="20"/>
          <w:szCs w:val="20"/>
        </w:rPr>
      </w:r>
    </w:p>
    <w:p w14:paraId="56D4441D">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color w:val="000000"/>
          <w:sz w:val="20"/>
          <w:szCs w:val="20"/>
        </w:rPr>
      </w:pPr>
      <w:r>
        <w:rPr>
          <w:rFonts w:ascii="Times" w:hAnsi="Times" w:eastAsia="Times" w:cs="Times"/>
          <w:color w:val="000000"/>
          <w:sz w:val="20"/>
          <w:szCs w:val="20"/>
        </w:rPr>
        <w:t xml:space="preserve">Name: Gidion Deus Mboya</w:t>
      </w:r>
      <w:r>
        <w:rPr>
          <w:rFonts w:ascii="Times" w:hAnsi="Times" w:eastAsia="Times" w:cs="Times"/>
          <w:sz w:val="20"/>
          <w:szCs w:val="20"/>
        </w:rPr>
      </w:r>
    </w:p>
    <w:p w14:paraId="7830BB5E">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color w:val="000000"/>
          <w:sz w:val="20"/>
          <w:szCs w:val="20"/>
        </w:rPr>
      </w:pPr>
      <w:r>
        <w:rPr>
          <w:rFonts w:ascii="Times" w:hAnsi="Times" w:eastAsia="Times" w:cs="Times"/>
          <w:color w:val="000000"/>
          <w:sz w:val="20"/>
          <w:szCs w:val="20"/>
        </w:rPr>
        <w:t xml:space="preserve">Business: Style My Space Signature: ___________________________ </w:t>
      </w:r>
      <w:r>
        <w:rPr>
          <w:rFonts w:ascii="Times" w:hAnsi="Times" w:eastAsia="Times" w:cs="Times"/>
          <w:sz w:val="20"/>
          <w:szCs w:val="20"/>
        </w:rPr>
      </w:r>
    </w:p>
    <w:p w14:paraId="7950E1B6">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sz w:val="20"/>
          <w:szCs w:val="20"/>
        </w:rPr>
      </w:pPr>
      <w:r>
        <w:rPr>
          <w:rFonts w:ascii="Times" w:hAnsi="Times" w:eastAsia="Times" w:cs="Times"/>
          <w:color w:val="000000"/>
          <w:sz w:val="20"/>
          <w:szCs w:val="20"/>
        </w:rPr>
        <w:t xml:space="preserve">Date: ___________________________</w:t>
      </w:r>
      <w:r/>
      <w:r/>
    </w:p>
    <w:p w14:paraId="331EEC57">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bCs/>
          <w:i/>
          <w:color w:val="000000"/>
          <w:sz w:val="20"/>
          <w:szCs w:val="20"/>
        </w:rPr>
      </w:pPr>
      <w:r>
        <w:rPr>
          <w:rFonts w:ascii="Times" w:hAnsi="Times" w:eastAsia="Times" w:cs="Times"/>
          <w:i/>
          <w:color w:val="000000"/>
          <w:sz w:val="20"/>
          <w:szCs w:val="20"/>
        </w:rPr>
        <w:t xml:space="preserve">Contract Reference: SMS-FMS-2026-001.</w:t>
      </w:r>
      <w:r>
        <w:rPr>
          <w:rFonts w:ascii="Times" w:hAnsi="Times" w:eastAsia="Times" w:cs="Times"/>
          <w:sz w:val="20"/>
          <w:szCs w:val="20"/>
        </w:rPr>
      </w:r>
    </w:p>
    <w:p w14:paraId="372D786C">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sz w:val="20"/>
          <w:szCs w:val="20"/>
        </w:rPr>
      </w:pPr>
      <w:r>
        <w:rPr>
          <w:rFonts w:ascii="Times" w:hAnsi="Times" w:eastAsia="Times" w:cs="Times"/>
          <w:i/>
          <w:color w:val="000000"/>
          <w:sz w:val="20"/>
          <w:szCs w:val="20"/>
        </w:rPr>
        <w:t xml:space="preserve">This document is legally binding upon execution by both Parties.</w:t>
      </w:r>
      <w:r>
        <w:rPr>
          <w:sz w:val="20"/>
          <w:szCs w:val="20"/>
        </w:rPr>
      </w:r>
      <w:r/>
    </w:p>
    <w:p>
      <w:pPr>
        <w:pBdr/>
        <w:spacing/>
        <w:ind/>
        <w:rPr>
          <w:sz w:val="20"/>
          <w:szCs w:val="20"/>
        </w:rPr>
      </w:pPr>
      <w:r>
        <w:rPr>
          <w:sz w:val="20"/>
          <w:szCs w:val="20"/>
        </w:rPr>
      </w:r>
      <w:r>
        <w:rPr>
          <w:sz w:val="20"/>
          <w:szCs w:val="20"/>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52CC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thecla.myalize@gmail.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2026-06-21T11:38:47Z</dcterms:modified>
</cp:coreProperties>
</file>