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59F717D6" w:rsidR="00F24965" w:rsidRPr="00990745" w:rsidRDefault="00DE4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61C844D9" w:rsidR="00F24965" w:rsidRPr="00990745" w:rsidRDefault="00DE4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Kelvin Mutuku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2634DE9F" w:rsidR="00F24965" w:rsidRPr="00990745" w:rsidRDefault="00DE4DBE">
            <w:pPr>
              <w:rPr>
                <w:sz w:val="20"/>
                <w:szCs w:val="20"/>
              </w:rPr>
            </w:pPr>
            <w:r w:rsidRPr="00DE4DBE">
              <w:rPr>
                <w:sz w:val="20"/>
                <w:szCs w:val="20"/>
              </w:rPr>
              <w:t xml:space="preserve">Potential M&amp;A Targets for </w:t>
            </w:r>
            <w:r w:rsidRPr="00DE4DBE">
              <w:rPr>
                <w:sz w:val="20"/>
                <w:szCs w:val="20"/>
              </w:rPr>
              <w:t>World</w:t>
            </w:r>
            <w:r w:rsidR="00DF0865">
              <w:rPr>
                <w:sz w:val="20"/>
                <w:szCs w:val="20"/>
              </w:rPr>
              <w:t>W</w:t>
            </w:r>
            <w:r w:rsidRPr="00DE4DBE">
              <w:rPr>
                <w:sz w:val="20"/>
                <w:szCs w:val="20"/>
              </w:rPr>
              <w:t>ide</w:t>
            </w:r>
            <w:r w:rsidRPr="00DE4DBE">
              <w:rPr>
                <w:sz w:val="20"/>
                <w:szCs w:val="20"/>
              </w:rPr>
              <w:t xml:space="preserve"> Brewing Co.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6EBA3190" w14:textId="7B1B5706" w:rsidR="006624F4" w:rsidRDefault="00682B21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 Anna,</w:t>
            </w:r>
          </w:p>
          <w:p w14:paraId="5D68EA3A" w14:textId="2F2A7758" w:rsidR="00DC3063" w:rsidRPr="00DC3063" w:rsidRDefault="005C6B66" w:rsidP="00DC3063">
            <w:pPr>
              <w:rPr>
                <w:sz w:val="20"/>
                <w:szCs w:val="20"/>
              </w:rPr>
            </w:pPr>
            <w:r w:rsidRPr="005C6B66">
              <w:rPr>
                <w:sz w:val="20"/>
                <w:szCs w:val="20"/>
              </w:rPr>
              <w:t>Following our discussion with the Hong Kong Director, I’ve summarized the five potential M&amp;A targets for WorldWide Brewing Co. (WWB) and assessed their suitability based on strategic fit, financials, and shareholder structure. Below is a concise overview of each company and my recommendation on whether they are appropriate to share with Carlos: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9318F6">
              <w:tc>
                <w:tcPr>
                  <w:tcW w:w="1240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 and non-alcoholic beverages. Its operations include manufacturing facilities, distribution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WorldWide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9318F6">
              <w:tc>
                <w:tcPr>
                  <w:tcW w:w="1240" w:type="dxa"/>
                </w:tcPr>
                <w:p w14:paraId="5153DA7F" w14:textId="6EE9129A" w:rsidR="009B6A6C" w:rsidRPr="00757AEB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</w:tc>
              <w:tc>
                <w:tcPr>
                  <w:tcW w:w="2647" w:type="dxa"/>
                </w:tcPr>
                <w:p w14:paraId="18F2157A" w14:textId="549F49EF" w:rsidR="009B6A6C" w:rsidRPr="00757AEB" w:rsidRDefault="006C5B8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sz w:val="20"/>
                      <w:szCs w:val="20"/>
                    </w:rPr>
                    <w:t>A leading player in Indonesia (#1) and Singapore/Malaysia (#2), with integrated operations in beer, spirits, and non-alcoholic beverages.</w:t>
                  </w:r>
                </w:p>
              </w:tc>
              <w:tc>
                <w:tcPr>
                  <w:tcW w:w="2893" w:type="dxa"/>
                </w:tcPr>
                <w:p w14:paraId="1A2EB85F" w14:textId="748A91C1" w:rsidR="009B6A6C" w:rsidRDefault="006C5B8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sz w:val="20"/>
                      <w:szCs w:val="20"/>
                    </w:rPr>
                    <w:t>Attractive financials (US$400mm EBITDA, up 40% YoY) and strong market position. However, 60% ownership by a Global Sponsor may complicate the acquisition process.</w:t>
                  </w:r>
                </w:p>
              </w:tc>
              <w:tc>
                <w:tcPr>
                  <w:tcW w:w="2350" w:type="dxa"/>
                </w:tcPr>
                <w:p w14:paraId="0D63E031" w14:textId="7CD561BF" w:rsidR="009B6A6C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Appropriate to share, but with a note on potential complexities due to shareholder structure.</w:t>
                  </w:r>
                </w:p>
              </w:tc>
            </w:tr>
            <w:tr w:rsidR="009B6A6C" w:rsidRPr="007773A3" w14:paraId="42F211ED" w14:textId="77777777" w:rsidTr="009318F6">
              <w:tc>
                <w:tcPr>
                  <w:tcW w:w="1240" w:type="dxa"/>
                </w:tcPr>
                <w:p w14:paraId="39C9B5A1" w14:textId="0B514F61" w:rsidR="009B6A6C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Hipsters’ Ale</w:t>
                  </w: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4FD63C6E" w:rsidR="009B6A6C" w:rsidRPr="00757AEB" w:rsidRDefault="002F126F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2F126F">
                    <w:rPr>
                      <w:rFonts w:ascii="Calibri" w:hAnsi="Calibri" w:cs="Calibri"/>
                      <w:sz w:val="20"/>
                      <w:szCs w:val="20"/>
                    </w:rPr>
                    <w:t>A Malaysian-based company operating in beer and spirits across Southeast Asia and East Asia, with a unique consortium of independent microbreweries.</w:t>
                  </w:r>
                </w:p>
              </w:tc>
              <w:tc>
                <w:tcPr>
                  <w:tcW w:w="2893" w:type="dxa"/>
                </w:tcPr>
                <w:p w14:paraId="740A5886" w14:textId="3D785431" w:rsidR="009B6A6C" w:rsidRDefault="008F3E88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F3E88">
                    <w:rPr>
                      <w:rFonts w:ascii="Calibri" w:hAnsi="Calibri" w:cs="Calibri"/>
                      <w:sz w:val="20"/>
                      <w:szCs w:val="20"/>
                    </w:rPr>
                    <w:t>While it has a niche market presence and growth (US$200mm EBITDA, up 15% YoY), the fragmented ownership structure (30 independent breweries) may make acquisition challenging.</w:t>
                  </w:r>
                </w:p>
              </w:tc>
              <w:tc>
                <w:tcPr>
                  <w:tcW w:w="2350" w:type="dxa"/>
                </w:tcPr>
                <w:p w14:paraId="4BF2F6C7" w14:textId="484FA8C3" w:rsidR="009B6A6C" w:rsidRDefault="00885E15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885E15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 appropriate to share at this stage due to feasibility concerns.</w:t>
                  </w:r>
                </w:p>
              </w:tc>
            </w:tr>
            <w:tr w:rsidR="009B6A6C" w:rsidRPr="007773A3" w14:paraId="4B9B75B0" w14:textId="77777777" w:rsidTr="009318F6">
              <w:tc>
                <w:tcPr>
                  <w:tcW w:w="1240" w:type="dxa"/>
                </w:tcPr>
                <w:p w14:paraId="3A4FDEF2" w14:textId="4F440D41" w:rsidR="009B6A6C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Brew Co.</w:t>
                  </w: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FC65F4D" w14:textId="7233E71D" w:rsidR="009B6A6C" w:rsidRPr="00757AEB" w:rsidRDefault="005006A1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006A1">
                    <w:rPr>
                      <w:rFonts w:ascii="Calibri" w:hAnsi="Calibri" w:cs="Calibri"/>
                      <w:sz w:val="20"/>
                      <w:szCs w:val="20"/>
                    </w:rPr>
                    <w:t>The #1 alcohol manufacturer in Malaysia, focusing on beer and spirits, with operations limited to manufacturing.</w:t>
                  </w:r>
                </w:p>
              </w:tc>
              <w:tc>
                <w:tcPr>
                  <w:tcW w:w="2893" w:type="dxa"/>
                </w:tcPr>
                <w:p w14:paraId="1842CD1D" w14:textId="08754C3F" w:rsidR="009B6A6C" w:rsidRDefault="006C5B8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sz w:val="20"/>
                      <w:szCs w:val="20"/>
                    </w:rPr>
                    <w:t>Despite its strong market position, EBITDA declined by 5% YoY (US$800mm), and its lack of distribution/sales integration may limit synergies with WWB.</w:t>
                  </w:r>
                </w:p>
              </w:tc>
              <w:tc>
                <w:tcPr>
                  <w:tcW w:w="2350" w:type="dxa"/>
                </w:tcPr>
                <w:p w14:paraId="55C39798" w14:textId="102E3D0D" w:rsidR="009B6A6C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 appropriate to share due to declining financials and limited strategic fit.</w:t>
                  </w:r>
                </w:p>
              </w:tc>
            </w:tr>
            <w:tr w:rsidR="009B6A6C" w:rsidRPr="007773A3" w14:paraId="14806F80" w14:textId="77777777" w:rsidTr="009318F6">
              <w:tc>
                <w:tcPr>
                  <w:tcW w:w="1240" w:type="dxa"/>
                </w:tcPr>
                <w:p w14:paraId="6EC317CC" w14:textId="3787F04E" w:rsidR="009B6A6C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Bevy’s Direct</w:t>
                  </w:r>
                </w:p>
                <w:p w14:paraId="189BB50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61C9C522" w:rsidR="009B6A6C" w:rsidRPr="00757AEB" w:rsidRDefault="006C5B8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sz w:val="20"/>
                      <w:szCs w:val="20"/>
                    </w:rPr>
                    <w:t>A Singapore-based wholesale distributor of beer, spirits, and non-alcoholic beverages across multiple Asian markets.</w:t>
                  </w:r>
                </w:p>
              </w:tc>
              <w:tc>
                <w:tcPr>
                  <w:tcW w:w="2893" w:type="dxa"/>
                </w:tcPr>
                <w:p w14:paraId="33CDC1A4" w14:textId="5E617997" w:rsidR="009B6A6C" w:rsidRDefault="006C5B8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sz w:val="20"/>
                      <w:szCs w:val="20"/>
                    </w:rPr>
                    <w:t>While it has shown growth (US$250mm EBITDA, up 20% YoY), its wholesale-only model may not align with WWB’s integrated operations strategy.</w:t>
                  </w:r>
                </w:p>
              </w:tc>
              <w:tc>
                <w:tcPr>
                  <w:tcW w:w="2350" w:type="dxa"/>
                </w:tcPr>
                <w:p w14:paraId="778A6CE4" w14:textId="08B74F4A" w:rsidR="009B6A6C" w:rsidRDefault="006C5B8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C5B8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 appropriate to share due to limited strategic alignment.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0930007" w14:textId="77777777" w:rsidR="005C6769" w:rsidRPr="005C6769" w:rsidRDefault="005C6769" w:rsidP="005C6769">
            <w:pPr>
              <w:rPr>
                <w:sz w:val="20"/>
                <w:szCs w:val="20"/>
                <w:lang w:val="en-US"/>
              </w:rPr>
            </w:pPr>
            <w:r w:rsidRPr="005C6769">
              <w:rPr>
                <w:sz w:val="20"/>
                <w:szCs w:val="20"/>
                <w:lang w:val="en-US"/>
              </w:rPr>
              <w:t>In summary, </w:t>
            </w:r>
            <w:r w:rsidRPr="005C6769">
              <w:rPr>
                <w:b/>
                <w:bCs/>
                <w:sz w:val="20"/>
                <w:szCs w:val="20"/>
                <w:lang w:val="en-US"/>
              </w:rPr>
              <w:t>HappyHour Co.</w:t>
            </w:r>
            <w:r w:rsidRPr="005C6769">
              <w:rPr>
                <w:sz w:val="20"/>
                <w:szCs w:val="20"/>
                <w:lang w:val="en-US"/>
              </w:rPr>
              <w:t> and </w:t>
            </w:r>
            <w:r w:rsidRPr="005C6769">
              <w:rPr>
                <w:b/>
                <w:bCs/>
                <w:sz w:val="20"/>
                <w:szCs w:val="20"/>
                <w:lang w:val="en-US"/>
              </w:rPr>
              <w:t>Spirit Bay</w:t>
            </w:r>
            <w:r w:rsidRPr="005C6769">
              <w:rPr>
                <w:sz w:val="20"/>
                <w:szCs w:val="20"/>
                <w:lang w:val="en-US"/>
              </w:rPr>
              <w:t> are the most appropriate targets to share with Carlos, given their strong strategic fit, financial performance, and relatively feasible acquisition processes. Let me know if you’d like to discuss further!</w:t>
            </w:r>
          </w:p>
          <w:p w14:paraId="6274EBB3" w14:textId="77777777" w:rsidR="005C6769" w:rsidRPr="005C6769" w:rsidRDefault="005C6769" w:rsidP="005C6769">
            <w:pPr>
              <w:rPr>
                <w:sz w:val="20"/>
                <w:szCs w:val="20"/>
                <w:lang w:val="en-US"/>
              </w:rPr>
            </w:pPr>
            <w:r w:rsidRPr="005C6769">
              <w:rPr>
                <w:sz w:val="20"/>
                <w:szCs w:val="20"/>
                <w:lang w:val="en-US"/>
              </w:rPr>
              <w:t>Best regards,</w:t>
            </w:r>
          </w:p>
          <w:p w14:paraId="29AC49A7" w14:textId="23ABF386" w:rsidR="00DC3063" w:rsidRPr="00DC3063" w:rsidRDefault="005C6769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Kelvin Mutuku</w:t>
            </w:r>
          </w:p>
          <w:p w14:paraId="5CF1D96A" w14:textId="3BFE666D" w:rsidR="00DC3063" w:rsidRPr="00762B00" w:rsidRDefault="00DC3063" w:rsidP="00DC3063">
            <w:pPr>
              <w:rPr>
                <w:b/>
                <w:iCs/>
                <w:sz w:val="20"/>
                <w:szCs w:val="20"/>
              </w:rPr>
            </w:pPr>
          </w:p>
        </w:tc>
      </w:tr>
    </w:tbl>
    <w:p w14:paraId="28D81A7E" w14:textId="77777777" w:rsidR="00000000" w:rsidRPr="00990745" w:rsidRDefault="00000000" w:rsidP="00762B00">
      <w:pPr>
        <w:rPr>
          <w:sz w:val="20"/>
          <w:szCs w:val="20"/>
        </w:rPr>
      </w:pPr>
    </w:p>
    <w:sectPr w:rsidR="00A90157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99750">
    <w:abstractNumId w:val="1"/>
  </w:num>
  <w:num w:numId="2" w16cid:durableId="784349546">
    <w:abstractNumId w:val="2"/>
  </w:num>
  <w:num w:numId="3" w16cid:durableId="101010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D64E1"/>
    <w:rsid w:val="001931C6"/>
    <w:rsid w:val="002F126F"/>
    <w:rsid w:val="0039065E"/>
    <w:rsid w:val="004F2ECF"/>
    <w:rsid w:val="005006A1"/>
    <w:rsid w:val="005C6769"/>
    <w:rsid w:val="005C6B66"/>
    <w:rsid w:val="006624F4"/>
    <w:rsid w:val="006776F6"/>
    <w:rsid w:val="00682B21"/>
    <w:rsid w:val="006C5B83"/>
    <w:rsid w:val="00762B00"/>
    <w:rsid w:val="00861BD9"/>
    <w:rsid w:val="00885E15"/>
    <w:rsid w:val="008E07B5"/>
    <w:rsid w:val="008F2C17"/>
    <w:rsid w:val="008F3E88"/>
    <w:rsid w:val="00990745"/>
    <w:rsid w:val="009B6A6C"/>
    <w:rsid w:val="00AF0A56"/>
    <w:rsid w:val="00AF616A"/>
    <w:rsid w:val="00DC3063"/>
    <w:rsid w:val="00DC50E8"/>
    <w:rsid w:val="00DD42CB"/>
    <w:rsid w:val="00DE4DBE"/>
    <w:rsid w:val="00DF0865"/>
    <w:rsid w:val="00E2685D"/>
    <w:rsid w:val="00EC7B2A"/>
    <w:rsid w:val="00F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KELVIN MUTUKU</cp:lastModifiedBy>
  <cp:revision>14</cp:revision>
  <cp:lastPrinted>2018-09-03T23:29:00Z</cp:lastPrinted>
  <dcterms:created xsi:type="dcterms:W3CDTF">2020-04-30T07:35:00Z</dcterms:created>
  <dcterms:modified xsi:type="dcterms:W3CDTF">2025-03-05T13:41:00Z</dcterms:modified>
</cp:coreProperties>
</file>